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jc w:val="center"/>
      </w:pPr>
      <w:r>
        <w:rPr>
          <w:rFonts w:ascii="Calibri" w:cs="Calibri" w:eastAsia="Calibri" w:hAnsi="Calibri"/>
          <w:b/>
          <w:bCs/>
          <w:color w:val="00B050"/>
          <w:sz w:val="64"/>
          <w:szCs w:val="64"/>
        </w:rPr>
        <w:t xml:space="preserve">GHOST 2210 CREW</w:t>
      </w:r>
    </w:p>
    <w:p>
      <w:pPr>
        <w:jc w:val="center"/>
      </w:pPr>
      <w:r>
        <w:rPr>
          <w:rFonts w:ascii="Calibri" w:cs="Calibri" w:eastAsia="Calibri" w:hAnsi="Calibri"/>
          <w:b/>
          <w:bCs/>
          <w:color w:val="1F1F1F"/>
          <w:sz w:val="40"/>
          <w:szCs w:val="40"/>
        </w:rPr>
        <w:t xml:space="preserve">CRITICAL INFRASTRUCTURE THREAT MAP</w:t>
      </w:r>
    </w:p>
    <w:p>
      <w:r>
        <w:t xml:space="preserve"/>
      </w:r>
    </w:p>
    <w:p>
      <w:pPr>
        <w:jc w:val="center"/>
      </w:pPr>
      <w:r>
        <w:rPr>
          <w:rFonts w:ascii="Calibri" w:cs="Calibri" w:eastAsia="Calibri" w:hAnsi="Calibri"/>
          <w:color w:val="404040"/>
          <w:sz w:val="30"/>
          <w:szCs w:val="30"/>
        </w:rPr>
        <w:t xml:space="preserve">COMPLETE USER GUIDE  v3.0</w:t>
      </w:r>
    </w:p>
    <w:p>
      <w:r>
        <w:t xml:space="preserve"/>
      </w:r>
    </w:p>
    <w:p>
      <w:pPr>
        <w:jc w:val="center"/>
      </w:pPr>
      <w:r>
        <w:rPr>
          <w:rFonts w:ascii="Calibri" w:cs="Calibri" w:eastAsia="Calibri" w:hAnsi="Calibri"/>
          <w:color w:val="404040"/>
          <w:sz w:val="22"/>
          <w:szCs w:val="22"/>
        </w:rPr>
        <w:t xml:space="preserve">June 2026  |  16 CISA Sectors  |  US Homeland Map  |  Entity Intel  |  Leadership Report</w:t>
      </w:r>
    </w:p>
    <w:p>
      <w:r>
        <w:t xml:space="preserve"/>
      </w:r>
    </w:p>
    <w:p>
      <w:pPr>
        <w:shd w:fill="1F1F1F" w:color="1F1F1F" w:val="solid"/>
        <w:jc w:val="center"/>
      </w:pPr>
      <w:r>
        <w:rPr>
          <w:rFonts w:ascii="Calibri" w:cs="Calibri" w:eastAsia="Calibri" w:hAnsi="Calibri"/>
          <w:b/>
          <w:bCs/>
          <w:color w:val="00B050"/>
          <w:sz w:val="26"/>
          <w:szCs w:val="26"/>
        </w:rPr>
        <w:t xml:space="preserve">  DEFEND THE HOMELAND  |  16 CISA SECTORS  |  DEFEND ALWAYS  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pBdr>
          <w:bottom w:val="single" w:color="00B050" w:sz="6" w:space="1"/>
        </w:pBdr>
        <w:spacing w:after="200" w:before="200"/>
      </w:pPr>
    </w:p>
    <w:p>
      <w:pPr>
        <w:jc w:val="center"/>
      </w:pPr>
      <w:r>
        <w:rPr>
          <w:rFonts w:ascii="Calibri" w:cs="Calibri" w:eastAsia="Calibri" w:hAnsi="Calibri"/>
          <w:i/>
          <w:iCs/>
          <w:color w:val="404040"/>
          <w:sz w:val="20"/>
          <w:szCs w:val="20"/>
        </w:rPr>
        <w:t xml:space="preserve">FOR DEFENSIVE AND AUTHORIZED SECURITY USE ONLY  |  SOURCES: TLP:CLEAR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Calibri" w:cs="Calibri" w:eastAsia="Calibri" w:hAnsi="Calibri"/>
          <w:b/>
          <w:bCs/>
          <w:color w:val="00B050"/>
          <w:sz w:val="36"/>
          <w:szCs w:val="36"/>
        </w:rPr>
        <w:t xml:space="preserve">TABLE OF CONTENTS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1.  What Is the CI Threat Map?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2.  Page Layout and Navigation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3.  US Homeland Threat Map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     3.1   State Threat Level Color Coding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     3.2   CI Hotspot Markers (12 Geographic Zones)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     3.3   Affected Entity Intelligence Panel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4.  16 CISA Critical Infrastructure Sector Cards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     4.1   Threat Level Indicators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     4.2   Expanding a Sector Card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     4.3   Filters and Search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5.  Leadership Report Generator  [NEW v3.0]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     5.1   How to Generate the Report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     5.2   Report Contents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     5.3   Printing and Saving as PDF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6.  AI Live Threat Intelligence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     6.1   Updating a Single Sector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     6.2   Sweep All 16 Sectors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7.  Threat Actor Reference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8.  Data Sources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9.  Troubleshooting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Calibri" w:cs="Calibri" w:eastAsia="Calibri" w:hAnsi="Calibri"/>
          <w:b/>
          <w:bCs/>
          <w:color w:val="00B050"/>
          <w:sz w:val="36"/>
          <w:szCs w:val="36"/>
        </w:rPr>
        <w:t xml:space="preserve">1. WHAT IS THE CI THREAT MAP?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The Ghost 2210 Crew Critical Infrastructure Threat Map is a defensive situational awareness tool covering all 16 CISA Critical Infrastructure Sectors. It provides leadership and security teams with a unified view of nation-state and ransomware threats targeting US critical infrastructure.</w:t>
      </w:r>
    </w:p>
    <w:p>
      <w: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Version 3.0 adds the Leadership Report Generator — a one-click executive briefing that produces a professional PDF-ready report covering the full threat landscape, geographic threat zones with affected entities, and prioritized recommended actions for leadership.</w:t>
      </w:r>
    </w:p>
    <w:p>
      <w: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The tool combines four intelligence layers: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US Homeland Map — state-level threat concentration with 12 clickable CI hotspot markers showing affected entities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16 CISA Sector Cards — full threat profiles for every critical infrastructure sector including actors, CVEs, and defensive countermeasures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Leadership Report — one-click executive briefing with situation summary, full sector table, geographic threat zones, and recommended immediate actions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AI Live Intelligence — optional Claude AI updates pulling latest 2025-2026 threat intelligence per sector</w:t>
      </w:r>
    </w:p>
    <w:p>
      <w:r>
        <w:t xml:space="preserve"/>
      </w:r>
    </w:p>
    <w:p>
      <w:pPr>
        <w:shd w:fill="E8F5E9" w:color="E8F5E9" w:val="solid"/>
        <w:spacing w:after="100" w:before="100"/>
      </w:pPr>
      <w:r>
        <w:rPr>
          <w:rFonts w:ascii="Calibri" w:cs="Calibri" w:eastAsia="Calibri" w:hAnsi="Calibri"/>
          <w:b/>
          <w:bCs/>
          <w:color w:val="00B050"/>
          <w:sz w:val="22"/>
          <w:szCs w:val="22"/>
        </w:rPr>
        <w:t xml:space="preserve">  NOTE: </w:t>
      </w:r>
      <w:r>
        <w:rPr>
          <w:rFonts w:ascii="Calibri" w:cs="Calibri" w:eastAsia="Calibri" w:hAnsi="Calibri"/>
          <w:color w:val="1F1F1F"/>
          <w:sz w:val="22"/>
          <w:szCs w:val="22"/>
        </w:rPr>
        <w:t xml:space="preserve">All data is sourced from publicly available, unclassified sources: CISA advisories, FBI alerts, NSA guidance, MITRE ATT&amp;CK, and open-source reporting. All content is TLP:CLEAR.</w:t>
      </w:r>
    </w:p>
    <w:p>
      <w:pPr>
        <w:pBdr>
          <w:bottom w:val="single" w:color="00B050" w:sz="6" w:space="1"/>
        </w:pBdr>
        <w:spacing w:after="200" w:before="200"/>
      </w:pPr>
    </w:p>
    <w:p>
      <w:pPr>
        <w:pStyle w:val="Heading1"/>
        <w:spacing w:after="120" w:before="360"/>
      </w:pPr>
      <w:r>
        <w:rPr>
          <w:rFonts w:ascii="Calibri" w:cs="Calibri" w:eastAsia="Calibri" w:hAnsi="Calibri"/>
          <w:b/>
          <w:bCs/>
          <w:color w:val="00B050"/>
          <w:sz w:val="36"/>
          <w:szCs w:val="36"/>
        </w:rPr>
        <w:t xml:space="preserve">2. PAGE LAYOUT AND NAVIGATION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1F1F1F" w:color="1F1F1F" w:val="solid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SECTION</w:t>
            </w:r>
          </w:p>
        </w:tc>
        <w:tc>
          <w:tcPr>
            <w:shd w:fill="1F1F1F" w:color="1F1F1F" w:val="solid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WHAT IT SHOWS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Top Bar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Tool name, sector count badge, and live UTC clock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AI Intelligence Bar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API key input, TEST KEY button, sector selector, UPDATE and SWEEP ALL buttons, AI log output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Stats Row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Live counts: Critical sectors / High threat / Elevated / Total CISA sectors / Active threat actors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Alert Banner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Current elevated threat environment summary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Filter Row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Filter chips, search bar, and LEADERSHIP REPORT button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US Homeland Map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D3 interactive map with state threat coloring and 12 clickable CI hotspot markers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US Flag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American flag with DEFEND THE HOMELAND tagline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Entity Intelligence Panel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Slides open when a map hotspot is clicked — shows affected entities, incident, CVEs, CISA advisory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16 Sector Cards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Full threat profiles for all CISA sectors in a responsive grid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Footer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Ghost 2210 Crew branding and data source attribution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Calibri" w:cs="Calibri" w:eastAsia="Calibri" w:hAnsi="Calibri"/>
          <w:b/>
          <w:bCs/>
          <w:color w:val="00B050"/>
          <w:sz w:val="36"/>
          <w:szCs w:val="36"/>
        </w:rPr>
        <w:t xml:space="preserve">3. US HOMELAND THREAT MAP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The interactive D3 map renders all 50 states color-coded by critical infrastructure threat concentration. Requires an internet connection to load state topology from CDN.</w:t>
      </w:r>
    </w:p>
    <w:p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00B050"/>
          <w:sz w:val="28"/>
          <w:szCs w:val="28"/>
        </w:rPr>
        <w:t xml:space="preserve">3.1  State Threat Level Color Coding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1F1F1F" w:color="1F1F1F" w:val="solid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THREAT LEVEL</w:t>
            </w:r>
          </w:p>
        </w:tc>
        <w:tc>
          <w:tcPr>
            <w:shd w:fill="1F1F1F" w:color="1F1F1F" w:val="solid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WHAT IT MEANS</w:t>
            </w:r>
          </w:p>
        </w:tc>
      </w:tr>
      <w:tr>
        <w:tc>
          <w:tcPr>
            <w:shd w:fill="FFEBEE" w:color="FFEBEE" w:val="solid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0000"/>
                <w:sz w:val="20"/>
                <w:szCs w:val="20"/>
              </w:rPr>
              <w:t xml:space="preserve">CRITICAL</w:t>
            </w:r>
          </w:p>
        </w:tc>
        <w:tc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Nation-state pre-positioned. Active exploitation confirmed. Immediate remediation required.</w:t>
            </w:r>
          </w:p>
        </w:tc>
      </w:tr>
      <w:tr>
        <w:tc>
          <w:tcPr>
            <w:shd w:fill="FFF3E0" w:color="FFF3E0" w:val="solid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36B00"/>
                <w:sz w:val="20"/>
                <w:szCs w:val="20"/>
              </w:rPr>
              <w:t xml:space="preserve">HIGH</w:t>
            </w:r>
          </w:p>
        </w:tc>
        <w:tc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Active targeting by nation-state or ransomware. Significant exploitation in progress.</w:t>
            </w:r>
          </w:p>
        </w:tc>
      </w:tr>
      <w:tr>
        <w:tc>
          <w:tcPr>
            <w:shd w:fill="FFFDE7" w:color="FFFDE7" w:val="solid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8860B"/>
                <w:sz w:val="20"/>
                <w:szCs w:val="20"/>
              </w:rPr>
              <w:t xml:space="preserve">ELEVATED</w:t>
            </w:r>
          </w:p>
        </w:tc>
        <w:tc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Known targeting activity. Ransomware campaigns active. Patch and harden now.</w:t>
            </w:r>
          </w:p>
        </w:tc>
      </w:tr>
      <w:tr>
        <w:tc>
          <w:tcPr>
            <w:shd w:fill="F1F8E9" w:color="F1F8E9" w:val="solid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E7D32"/>
                <w:sz w:val="20"/>
                <w:szCs w:val="20"/>
              </w:rPr>
              <w:t xml:space="preserve">MODERATE</w:t>
            </w:r>
          </w:p>
        </w:tc>
        <w:tc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Lower critical infrastructure density. Standard threat posture applies.</w:t>
            </w:r>
          </w:p>
        </w:tc>
      </w:tr>
    </w:tbl>
    <w:p>
      <w:r>
        <w:t xml:space="preserve"/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404040"/>
          <w:sz w:val="24"/>
          <w:szCs w:val="24"/>
        </w:rPr>
        <w:t xml:space="preserve">Critical States (Red)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California, Texas, New York, Florida, Virginia, Maryland, DC, Illinois, Pennsylvania, Washington — highest CI density including major energy grids, financial centers, federal agencies, tech hubs, and defense contractors.</w:t>
      </w:r>
    </w:p>
    <w:p>
      <w:r>
        <w:t xml:space="preserve"/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404040"/>
          <w:sz w:val="24"/>
          <w:szCs w:val="24"/>
        </w:rPr>
        <w:t xml:space="preserve">High States (Orange)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Colorado, Georgia, Michigan, Minnesota, Missouri, New Jersey, North Carolina, Ohio, Oregon, Tennessee, Wisconsin — significant CI presence including manufacturing, healthcare systems, and regional energy infrastructure.</w:t>
      </w:r>
    </w:p>
    <w:p>
      <w:r>
        <w:t xml:space="preserve"/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404040"/>
          <w:sz w:val="24"/>
          <w:szCs w:val="24"/>
        </w:rPr>
        <w:t xml:space="preserve">Elevated States (Yellow)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All remaining states — subject to ransomware campaigns and opportunistic targeting. All states have water, emergency services, food and agriculture infrastructure.</w:t>
      </w:r>
    </w:p>
    <w:p>
      <w:r>
        <w:t xml:space="preserve"/>
      </w:r>
    </w:p>
    <w:p>
      <w:pPr>
        <w:shd w:fill="E8F5E9" w:color="E8F5E9" w:val="solid"/>
        <w:spacing w:after="100" w:before="100"/>
      </w:pPr>
      <w:r>
        <w:rPr>
          <w:rFonts w:ascii="Calibri" w:cs="Calibri" w:eastAsia="Calibri" w:hAnsi="Calibri"/>
          <w:b/>
          <w:bCs/>
          <w:color w:val="00B050"/>
          <w:sz w:val="22"/>
          <w:szCs w:val="22"/>
        </w:rPr>
        <w:t xml:space="preserve">  NOTE: </w:t>
      </w:r>
      <w:r>
        <w:rPr>
          <w:rFonts w:ascii="Calibri" w:cs="Calibri" w:eastAsia="Calibri" w:hAnsi="Calibri"/>
          <w:color w:val="1F1F1F"/>
          <w:sz w:val="22"/>
          <w:szCs w:val="22"/>
        </w:rPr>
        <w:t xml:space="preserve">Hover any state to see its threat level in a tooltip. Threat levels are based on CI density, known incidents from CISA advisories, and assessed nation-state pre-positioning.</w:t>
      </w:r>
    </w:p>
    <w:p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00B050"/>
          <w:sz w:val="28"/>
          <w:szCs w:val="28"/>
        </w:rPr>
        <w:t xml:space="preserve">3.2  CI Hotspot Markers — 12 Geographic Zones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12 clickable markers identify major critical infrastructure concentration points. Each marker is color-coded by threat level and labeled by sector: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1F1F1F" w:color="1F1F1F" w:val="solid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HOTSPOT</w:t>
            </w:r>
          </w:p>
        </w:tc>
        <w:tc>
          <w:tcPr>
            <w:shd w:fill="1F1F1F" w:color="1F1F1F" w:val="solid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SECTOR / KEY INCIDENT / THREAT LEVEL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Pacific Grid (E)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Western energy grid. Volt Typhoon pre-positioned. CRITICAL.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Silicon Valley (T)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Tech/IT hub. UNC5221, APT41 active. F5, Cisco, Microsoft affected. CRITICAL.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Gulf Coast Energy (O)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Oil, gas, LNG. Colonial Pipeline ransomware. Sandworm/APT33. CRITICAL.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Great Lakes Mfg (M)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Manufacturing. NotPetya, APT41 IP theft. HIGH.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DC Federal Hub (G)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Federal agencies. SolarWinds, Salt Typhoon. CRITICAL.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NYC Finance (F)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Financial center. Lazarus SWIFT attacks, $1.5B Bybit heist. CRITICAL.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SE Energy (E)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Southeast grid. Volt Typhoon pre-positioned, ransomware. HIGH.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SE Healthcare (H)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Southeast hospitals. Ascension, Change Healthcare attacks. CRITICAL.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Midwest Ag/Water (A)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Agriculture and water. NEW Cooperative, JBS ransomware. ELEVATED.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NE Healthcare/Comms (C)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Northeast health and comms. Salt Typhoon AT&amp;T/Verizon breach. HIGH.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Southwest Water (W)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Water/SCADA. IRGC Unitronics PLC compromise. ELEVATED.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Gulf Ports/Maritime (P)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Ports and maritime. APT40, NotPetya Maersk $300M. HIGH.</w:t>
            </w:r>
          </w:p>
        </w:tc>
      </w:tr>
    </w:tbl>
    <w:p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00B050"/>
          <w:sz w:val="28"/>
          <w:szCs w:val="28"/>
        </w:rPr>
        <w:t xml:space="preserve">3.3  Affected Entity Intelligence Panel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Click any hotspot marker to open the Entity Intelligence Panel below the map. Three intelligence columns appear: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1F1F1F" w:color="1F1F1F" w:val="solid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COLUMN</w:t>
            </w:r>
          </w:p>
        </w:tc>
        <w:tc>
          <w:tcPr>
            <w:shd w:fill="1F1F1F" w:color="1F1F1F" w:val="solid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CONTENT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Affected Entities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5 specific organizations at that location with confirmed threat actor activity — drawn from CISA public advisories and open-source reporting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Known Incident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Summary of a confirmed, publicly disclosed incident: ransomware attack, nation-state breach, or infrastructure disruption event with impact details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CISA Advisory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Direct link to the relevant CISA cybersecurity advisory. Click to read full IOCs, detection signatures, and mitigations.</w:t>
            </w:r>
          </w:p>
        </w:tc>
      </w:tr>
    </w:tbl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1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Click any marker on the US map — the selected marker enlarges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2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The Entity Intelligence Panel animates open below the map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3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Read Affected Entities — organizations at risk in this CI zone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4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Read Known Incident — what happened, when, and the impact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5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Click CVE badges to open NVD entries in a new tab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6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Click the CISA advisory link for full defensive guidance and IOCs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7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Click X CLOSE or click another marker to dismiss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Calibri" w:cs="Calibri" w:eastAsia="Calibri" w:hAnsi="Calibri"/>
          <w:b/>
          <w:bCs/>
          <w:color w:val="00B050"/>
          <w:sz w:val="36"/>
          <w:szCs w:val="36"/>
        </w:rPr>
        <w:t xml:space="preserve">4. 16 CISA CRITICAL INFRASTRUCTURE SECTOR CARDS</w:t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00B050"/>
          <w:sz w:val="28"/>
          <w:szCs w:val="28"/>
        </w:rPr>
        <w:t xml:space="preserve">4.1  Threat Level Indicators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Each card shows: color stripe, threat level badge (CRITICAL/HIGH/ELEVATED/MODERATE), ICS/OT badge where applicable, threat score meter, nation-state actor chips (Orange=China, Red=Russia, Cyan=Iran, Purple=DPRK, Yellow=Ransomware), and a 180-character summary.</w:t>
      </w:r>
    </w:p>
    <w:p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00B050"/>
          <w:sz w:val="28"/>
          <w:szCs w:val="28"/>
        </w:rPr>
        <w:t xml:space="preserve">4.2  Expanding a Sector Card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Click any sector card to expand it. Four intelligence sections appear: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1F1F1F" w:color="1F1F1F" w:val="solid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SECTION</w:t>
            </w:r>
          </w:p>
        </w:tc>
        <w:tc>
          <w:tcPr>
            <w:shd w:fill="1F1F1F" w:color="1F1F1F" w:val="solid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CONTENT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Full Threat Summary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Complete current threat assessment including major incidents, confirmed nation-state activity, and exploitation timeline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Active Threat Actors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Named threat groups with nation attribution and specific TTPs — color coded by nation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Exploited CVEs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CVE IDs actively exploited against this sector — click any CVE to open NVD in a new tab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Defensive Countermeasures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Six specific defensive actions drawn from CISA guidance, ISAC recommendations, and NIST standards</w:t>
            </w:r>
          </w:p>
        </w:tc>
      </w:tr>
    </w:tbl>
    <w:p>
      <w: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CISA and ADVISORY buttons at the bottom of each card link directly to the sector page and most relevant current advisory.</w:t>
      </w:r>
    </w:p>
    <w:p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00B050"/>
          <w:sz w:val="28"/>
          <w:szCs w:val="28"/>
        </w:rPr>
        <w:t xml:space="preserve">4.3  Filters and Search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1F1F1F" w:color="1F1F1F" w:val="solid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FILTER</w:t>
            </w:r>
          </w:p>
        </w:tc>
        <w:tc>
          <w:tcPr>
            <w:shd w:fill="1F1F1F" w:color="1F1F1F" w:val="solid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WHAT IT SHOWS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ALL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Show all 16 CISA sectors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CRITICAL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Show only Critical threat level sectors (9 of 16)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HIGH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Show only High threat level sectors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CHINA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Show sectors targeted by Chinese nation-state actors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RUSSIA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Show sectors targeted by Russian nation-state actors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RANSOMWARE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Show sectors under active ransomware campaigns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ICS/OT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Show only sectors with industrial control system exposure</w:t>
            </w:r>
          </w:p>
        </w:tc>
      </w:tr>
    </w:tbl>
    <w:p>
      <w: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Search bar filters live by sector name, sub-sector, threat summary, actor names, and CVE IDs. Examples: "Volt Typhoon" / "CVE-2021-44228" / "Colonial Pipeline" / "ICS"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Calibri" w:cs="Calibri" w:eastAsia="Calibri" w:hAnsi="Calibri"/>
          <w:b/>
          <w:bCs/>
          <w:color w:val="00B050"/>
          <w:sz w:val="36"/>
          <w:szCs w:val="36"/>
        </w:rPr>
        <w:t xml:space="preserve">5. LEADERSHIP REPORT GENERATOR  [NEW IN v3.0]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The Leadership Report Generator produces a professional executive briefing document covering the full CI threat landscape. It is designed for briefing non-technical leadership, board members, and senior officials who need a clear threat picture without navigating the technical dashboard.</w:t>
      </w:r>
    </w:p>
    <w:p>
      <w:r>
        <w:t xml:space="preserve"/>
      </w:r>
    </w:p>
    <w:p>
      <w:pPr>
        <w:shd w:fill="FFF8E1" w:color="FFF8E1" w:val="solid"/>
        <w:spacing w:after="100" w:before="100"/>
      </w:pPr>
      <w:r>
        <w:rPr>
          <w:rFonts w:ascii="Calibri" w:cs="Calibri" w:eastAsia="Calibri" w:hAnsi="Calibri"/>
          <w:b/>
          <w:bCs/>
          <w:color w:val="E36B00"/>
          <w:sz w:val="22"/>
          <w:szCs w:val="22"/>
        </w:rPr>
        <w:t xml:space="preserve">  KEY POINT: </w:t>
      </w:r>
      <w:r>
        <w:rPr>
          <w:rFonts w:ascii="Calibri" w:cs="Calibri" w:eastAsia="Calibri" w:hAnsi="Calibri"/>
          <w:color w:val="1F1F1F"/>
          <w:sz w:val="22"/>
          <w:szCs w:val="22"/>
        </w:rPr>
        <w:t xml:space="preserve">The report opens in a new browser tab. Allow popups for this page if your browser blocks the new tab.</w:t>
      </w:r>
    </w:p>
    <w:p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00B050"/>
          <w:sz w:val="28"/>
          <w:szCs w:val="28"/>
        </w:rPr>
        <w:t xml:space="preserve">5.1  How to Generate the Report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1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Click the LEADERSHIP REPORT button in the filter bar (next to the search box)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2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Allow the popup if your browser asks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3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The executive briefing opens in a new tab — generation takes under 1 second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4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Review all four sections of the report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5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Click PRINT / SAVE AS PDF at the bottom to produce a PDF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6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Use browser File &gt; Print &gt; Save as PDF for the cleanest output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7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Share the PDF with leadership via secure email or document management system</w:t>
            </w:r>
          </w:p>
        </w:tc>
      </w:tr>
    </w:tbl>
    <w:p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00B050"/>
          <w:sz w:val="28"/>
          <w:szCs w:val="28"/>
        </w:rPr>
        <w:t xml:space="preserve">5.2  Report Contents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The Leadership Report contains four sections:</w:t>
      </w:r>
    </w:p>
    <w:p>
      <w:r>
        <w:t xml:space="preserve"/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404040"/>
          <w:sz w:val="24"/>
          <w:szCs w:val="24"/>
        </w:rPr>
        <w:t xml:space="preserve">Section 1 — Situation Summary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Five stat cards: Critical Sectors / High Threat / Elevated / Critical Zones / Threat Actors Tracked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Nation-state breakdown: China / Russia / Iran / DPRK / Ransomware — actor count and key group names per nation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Executive Assessment paragraph — written in plain language for non-technical leadership, covering the current threat environment, top threat actors, and key statistics</w:t>
      </w:r>
    </w:p>
    <w:p>
      <w:r>
        <w:t xml:space="preserve"/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404040"/>
          <w:sz w:val="24"/>
          <w:szCs w:val="24"/>
        </w:rPr>
        <w:t xml:space="preserve">Section 2 — All 16 CISA Sectors Threat Table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All 16 sectors ranked by severity (Critical first)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Each row shows: threat level badge, sector name and sub-category, 120-character threat summary, key threat actors with nation color coding, key CVEs linked to NVD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ICS/OT badge shown on sectors with operational technology exposure</w:t>
      </w:r>
    </w:p>
    <w:p>
      <w:r>
        <w:t xml:space="preserve"/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404040"/>
          <w:sz w:val="24"/>
          <w:szCs w:val="24"/>
        </w:rPr>
        <w:t xml:space="preserve">Section 3 — Geographic Threat Zones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All 12 CI geographic hotspots from the homeland map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Each zone shows: incident summary in plain language, specific affected organizations, exploited CVEs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Color-coded by threat level — red for Critical, orange for High, yellow for Elevated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Nation-state attribution badge on each zone</w:t>
      </w:r>
    </w:p>
    <w:p>
      <w:r>
        <w:t xml:space="preserve"/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404040"/>
          <w:sz w:val="24"/>
          <w:szCs w:val="24"/>
        </w:rPr>
        <w:t xml:space="preserve">Section 4 — Recommended Immediate Actions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8 prioritized action items for leadership with clear timeframes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CRITICAL 24 HOURS: Volt Typhoon IOC check (CISA AA24-038A), Salt Typhoon audit (CISA AA24-338A)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CRITICAL 48 HOURS: Healthcare offline backup verification (CISA AA24-131A)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HIGH 7 DAYS: OT/IT segmentation validation, MFA enforcement, KEV patching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MEDIUM 30 DAYS: ISAC subscriptions for all CI sector teams, ransomware tabletop exercise</w:t>
      </w:r>
    </w:p>
    <w:p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00B050"/>
          <w:sz w:val="28"/>
          <w:szCs w:val="28"/>
        </w:rPr>
        <w:t xml:space="preserve">5.3  Printing and Saving as PDF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1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Click PRINT / SAVE AS PDF at the bottom of the report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2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Your browser print dialog opens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3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Set Destination to "Save as PDF"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4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Set Paper size to Letter or A4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5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Set Margins to Default or Minimum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6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Enable "Background graphics" to preserve color coding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7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Click Save — the PDF is production-ready for leadership distribution</w:t>
            </w:r>
          </w:p>
        </w:tc>
      </w:tr>
    </w:tbl>
    <w:p>
      <w:pPr>
        <w:shd w:fill="E8F5E9" w:color="E8F5E9" w:val="solid"/>
        <w:spacing w:after="100" w:before="100"/>
      </w:pPr>
      <w:r>
        <w:rPr>
          <w:rFonts w:ascii="Calibri" w:cs="Calibri" w:eastAsia="Calibri" w:hAnsi="Calibri"/>
          <w:b/>
          <w:bCs/>
          <w:color w:val="00B050"/>
          <w:sz w:val="22"/>
          <w:szCs w:val="22"/>
        </w:rPr>
        <w:t xml:space="preserve">  NOTE: </w:t>
      </w:r>
      <w:r>
        <w:rPr>
          <w:rFonts w:ascii="Calibri" w:cs="Calibri" w:eastAsia="Calibri" w:hAnsi="Calibri"/>
          <w:color w:val="1F1F1F"/>
          <w:sz w:val="22"/>
          <w:szCs w:val="22"/>
        </w:rPr>
        <w:t xml:space="preserve">The report includes print-optimized CSS (@media print). The PRINT button and CLOSE button disappear in the printed version. Page breaks are set to keep each section together.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Calibri" w:cs="Calibri" w:eastAsia="Calibri" w:hAnsi="Calibri"/>
          <w:b/>
          <w:bCs/>
          <w:color w:val="00B050"/>
          <w:sz w:val="36"/>
          <w:szCs w:val="36"/>
        </w:rPr>
        <w:t xml:space="preserve">6. AI LIVE THREAT INTELLIGENCE</w:t>
      </w:r>
    </w:p>
    <w:p>
      <w:pPr>
        <w:spacing w:after="60" w:before="6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Optional AI-powered updates using the Anthropic Claude API. When activated, Claude queries for latest 2025-2026 threat intelligence per sector and updates cards with new findings.</w:t>
      </w:r>
    </w:p>
    <w:p>
      <w:r>
        <w:t xml:space="preserve"/>
      </w:r>
    </w:p>
    <w:p>
      <w:pPr>
        <w:shd w:fill="FFF8E1" w:color="FFF8E1" w:val="solid"/>
        <w:spacing w:after="100" w:before="100"/>
      </w:pPr>
      <w:r>
        <w:rPr>
          <w:rFonts w:ascii="Calibri" w:cs="Calibri" w:eastAsia="Calibri" w:hAnsi="Calibri"/>
          <w:b/>
          <w:bCs/>
          <w:color w:val="E36B00"/>
          <w:sz w:val="22"/>
          <w:szCs w:val="22"/>
        </w:rPr>
        <w:t xml:space="preserve">  KEY POINT: </w:t>
      </w:r>
      <w:r>
        <w:rPr>
          <w:rFonts w:ascii="Calibri" w:cs="Calibri" w:eastAsia="Calibri" w:hAnsi="Calibri"/>
          <w:color w:val="1F1F1F"/>
          <w:sz w:val="22"/>
          <w:szCs w:val="22"/>
        </w:rPr>
        <w:t xml:space="preserve">Requires Anthropic API key. See Ghost 2210 Crew Toolkit User Guide Section 6 for setup. Cost: approximately $0.005-0.01 per sector update.</w:t>
      </w:r>
    </w:p>
    <w:p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00B050"/>
          <w:sz w:val="28"/>
          <w:szCs w:val="28"/>
        </w:rPr>
        <w:t xml:space="preserve">6.1  Updating a Single Sector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1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Paste your sk-ant-... API key into the key field in the AI bar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2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Click TEST KEY — wait for SUCCESS confirmation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3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Select a specific sector from the dropdown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4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Click UPDATE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5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AI queries latest threat intelligence for that sector (5-10 seconds)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6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AI Intel Update card appears at top of expanded sector card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7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Update shows: threat assessment, new threat actors, new CVEs, defensive priority</w:t>
            </w:r>
          </w:p>
        </w:tc>
      </w:tr>
    </w:tbl>
    <w:p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00B050"/>
          <w:sz w:val="28"/>
          <w:szCs w:val="28"/>
        </w:rPr>
        <w:t xml:space="preserve">6.2  Sweep All 16 Sectors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1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Paste API key and click TEST KEY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2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Click SWEEP ALL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3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AI log shows progress as each sector is queried sequentially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4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Each sector takes 5-10 seconds — full sweep takes 3-5 minutes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5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Stats row updates after sweep if threat levels changed</w:t>
            </w:r>
          </w:p>
        </w:tc>
      </w:tr>
      <w:tr>
        <w:tc>
          <w:tcPr>
            <w:tcW w:type="pct" w:w="8%"/>
            <w:shd w:fill="1F1F1F" w:color="1F1F1F" w:val="solid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B050"/>
                <w:sz w:val="28"/>
                <w:szCs w:val="28"/>
              </w:rPr>
              <w:t xml:space="preserve">6</w:t>
            </w:r>
          </w:p>
        </w:tc>
        <w:tc>
          <w:tcPr>
            <w:tcW w:type="pct" w:w="92%"/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F1F1F"/>
                <w:sz w:val="22"/>
                <w:szCs w:val="22"/>
              </w:rPr>
              <w:t xml:space="preserve">All 16 sector cards show AI Intel Update sections when expanded</w:t>
            </w:r>
          </w:p>
        </w:tc>
      </w:tr>
    </w:tbl>
    <w:p>
      <w:pPr>
        <w:shd w:fill="E8F5E9" w:color="E8F5E9" w:val="solid"/>
        <w:spacing w:after="100" w:before="100"/>
      </w:pPr>
      <w:r>
        <w:rPr>
          <w:rFonts w:ascii="Calibri" w:cs="Calibri" w:eastAsia="Calibri" w:hAnsi="Calibri"/>
          <w:b/>
          <w:bCs/>
          <w:color w:val="00B050"/>
          <w:sz w:val="22"/>
          <w:szCs w:val="22"/>
        </w:rPr>
        <w:t xml:space="preserve">  NOTE: </w:t>
      </w:r>
      <w:r>
        <w:rPr>
          <w:rFonts w:ascii="Calibri" w:cs="Calibri" w:eastAsia="Calibri" w:hAnsi="Calibri"/>
          <w:color w:val="1F1F1F"/>
          <w:sz w:val="22"/>
          <w:szCs w:val="22"/>
        </w:rPr>
        <w:t xml:space="preserve">After running AI updates, regenerate the Leadership Report to incorporate the latest intelligence into the executive briefing.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Calibri" w:cs="Calibri" w:eastAsia="Calibri" w:hAnsi="Calibri"/>
          <w:b/>
          <w:bCs/>
          <w:color w:val="00B050"/>
          <w:sz w:val="36"/>
          <w:szCs w:val="36"/>
        </w:rPr>
        <w:t xml:space="preserve">7. THREAT ACTOR REFERENCE</w:t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00B050"/>
          <w:sz w:val="28"/>
          <w:szCs w:val="28"/>
        </w:rPr>
        <w:t xml:space="preserve">Chinese Nation-State Actors (Orange)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Volt Typhoon — Pre-positioning in energy, water, communications, transportation for potential wartime disruption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Salt Typhoon / Earth Estries — Telecom espionage, breached AT&amp;T, Verizon, T-Mobile lawful intercept systems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APT40 / Leviathan — Naval/maritime and defense targeting, F-35 design data theft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APT41 / Winnti — Supply chain attacks, manufacturing IP theft, MSP compromise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UNC5221 — F5 Networks internal breach, vulnerability roadmap obtained</w:t>
      </w:r>
    </w:p>
    <w:p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00B050"/>
          <w:sz w:val="28"/>
          <w:szCs w:val="28"/>
        </w:rPr>
        <w:t xml:space="preserve">Russian Nation-State Actors (Red)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Sandworm / APT44 — Destructive attacks, NotPetya wiper ($10B+ damage), Industroyer2 power grid malware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APT29 / Cozy Bear — SolarWinds SUNBURST supply chain, 18,000+ victims including Treasury and State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APT28 / Fancy Bear — Election infrastructure, government email compromise, NATO targeting</w:t>
      </w:r>
    </w:p>
    <w:p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00B050"/>
          <w:sz w:val="28"/>
          <w:szCs w:val="28"/>
        </w:rPr>
        <w:t xml:space="preserve">Iranian Nation-State Actors (Cyan)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IRGC / CyberAv3ngers — Water utility PLC compromise Nov 2023, CISA Emergency Directive 23-02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APT33 / Refined Kitten — Petrochemical and energy, Shamoon wiper, safety system targeting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Charming Kitten / APT35 — Government officials, nuclear policy researchers, academics</w:t>
      </w:r>
    </w:p>
    <w:p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00B050"/>
          <w:sz w:val="28"/>
          <w:szCs w:val="28"/>
        </w:rPr>
        <w:t xml:space="preserve">North Korean Actors (Purple)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Lazarus Group — $1.5B Bybit crypto heist Feb 2025, $3B+ total theft, SWIFT bank targeting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APT38 — Central bank SWIFT manipulation across 16+ countries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Kimsuky — Nuclear policy researchers, think tanks, defense contractor intelligence</w:t>
      </w:r>
    </w:p>
    <w:p>
      <w:r>
        <w:t xml:space="preserve"/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00B050"/>
          <w:sz w:val="28"/>
          <w:szCs w:val="28"/>
        </w:rPr>
        <w:t xml:space="preserve">Ransomware Groups (Yellow)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ALPHV/BlackCat — Change Healthcare $22M ransom, largest US healthcare breach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Black Basta — Ascension Health 140 hospitals disrupted May 2024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Qilin — NHS Synnovis UK blood supply disruption June 2024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Scattered Spider — Social engineering IT helpdesk, MGM Resorts $100M+ losses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Calibri" w:cs="Calibri" w:eastAsia="Calibri" w:hAnsi="Calibri"/>
          <w:b/>
          <w:bCs/>
          <w:color w:val="00B050"/>
          <w:sz w:val="36"/>
          <w:szCs w:val="36"/>
        </w:rPr>
        <w:t xml:space="preserve">8. DATA SOURCES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1F1F1F" w:color="1F1F1F" w:val="solid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SOURCE</w:t>
            </w:r>
          </w:p>
        </w:tc>
        <w:tc>
          <w:tcPr>
            <w:shd w:fill="1F1F1F" w:color="1F1F1F" w:val="solid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URL AND PURPOSE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CISA Cybersecurity Advisories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cisa.gov/news-events/cybersecurity-advisories — All sector-specific threat actor advisories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CISA Critical Infrastructure Sectors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cisa.gov/critical-infrastructure-sectors — 16 sector definitions, ISAC links, sector guidance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FBI Cyber Division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ic3.gov — Ransomware and nation-state alerts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NSA Cybersecurity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nsa.gov/Cybersecurity — Nation-state TTPs and defensive guidance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MITRE ATT&amp;CK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attack.mitre.org — Threat actor TTP mapping and group profiles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NVD / NIST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nvd.nist.gov — CVE details and CVSS scores</w:t>
            </w:r>
          </w:p>
        </w:tc>
      </w:tr>
      <w:tr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CISA KEV Catalog</w:t>
            </w:r>
          </w:p>
        </w:tc>
        <w:tc>
          <w:tcPr>
            <w:shd w:fill="F2F2F2" w:color="F2F2F2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cisa.gov/known-exploited-vulnerabilities-catalog — Active exploitation confirmation</w:t>
            </w:r>
          </w:p>
        </w:tc>
      </w:tr>
      <w:tr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Five Eyes Joint Advisories</w:t>
            </w:r>
          </w:p>
        </w:tc>
        <w:tc>
          <w:tcPr>
            <w:shd w:fill="FFFFFF" w:color="FFFFFF" w:val="solid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F1F1F"/>
                <w:sz w:val="20"/>
                <w:szCs w:val="20"/>
              </w:rPr>
              <w:t xml:space="preserve">cyber.gov.au/about/news — CISA, FBI, NSA, NCSC, ACSC joint advisories</w:t>
            </w:r>
          </w:p>
        </w:tc>
      </w:tr>
    </w:tbl>
    <w:p>
      <w:pPr>
        <w:pBdr>
          <w:bottom w:val="single" w:color="00B050" w:sz="6" w:space="1"/>
        </w:pBdr>
        <w:spacing w:after="200" w:before="200"/>
      </w:pPr>
    </w:p>
    <w:p>
      <w:pPr>
        <w:pStyle w:val="Heading1"/>
        <w:spacing w:after="120" w:before="360"/>
      </w:pPr>
      <w:r>
        <w:rPr>
          <w:rFonts w:ascii="Calibri" w:cs="Calibri" w:eastAsia="Calibri" w:hAnsi="Calibri"/>
          <w:b/>
          <w:bCs/>
          <w:color w:val="00B050"/>
          <w:sz w:val="36"/>
          <w:szCs w:val="36"/>
        </w:rPr>
        <w:t xml:space="preserve">9. TROUBLESHOOTING</w:t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404040"/>
          <w:sz w:val="24"/>
          <w:szCs w:val="24"/>
        </w:rPr>
        <w:t xml:space="preserve">Map Not Rendering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Requires internet connection — D3 loads US topology from cdn.jsdelivr.net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Sector cards below are fully functional without the map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Refresh the page — CDN usually recovers within 30 seconds</w:t>
      </w:r>
    </w:p>
    <w:p>
      <w:r>
        <w:t xml:space="preserve"/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404040"/>
          <w:sz w:val="24"/>
          <w:szCs w:val="24"/>
        </w:rPr>
        <w:t xml:space="preserve">Hotspot Markers Not Appearing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Markers render after topology loads — wait 3-5 seconds after map appears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Click directly on the colored circle, not the label text below it</w:t>
      </w:r>
    </w:p>
    <w:p>
      <w:r>
        <w:t xml:space="preserve"/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404040"/>
          <w:sz w:val="24"/>
          <w:szCs w:val="24"/>
        </w:rPr>
        <w:t xml:space="preserve">Leadership Report Not Opening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Allow popups for this page — the report opens in a new browser tab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Chrome: click the popup blocked icon in the address bar and select Allow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Firefox: click Options in the blocked popup notification bar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If still blocked: go to browser Settings &gt; Privacy &gt; Site Settings &gt; Pop-ups</w:t>
      </w:r>
    </w:p>
    <w:p>
      <w:r>
        <w:t xml:space="preserve"/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404040"/>
          <w:sz w:val="24"/>
          <w:szCs w:val="24"/>
        </w:rPr>
        <w:t xml:space="preserve">Leadership Report Missing Colors When Printed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In the print dialog, enable "Background graphics" or "Print backgrounds"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Chrome: More settings &gt; Background graphics — check the box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This ensures threat level color coding is preserved in the PDF</w:t>
      </w:r>
    </w:p>
    <w:p>
      <w:r>
        <w:t xml:space="preserve"/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404040"/>
          <w:sz w:val="24"/>
          <w:szCs w:val="24"/>
        </w:rPr>
        <w:t xml:space="preserve">TEST KEY Shows ERROR 401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API key invalid or expired — copy fresh from console.anthropic.com/settings/keys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Check for spaces before or after the key</w:t>
      </w:r>
    </w:p>
    <w:p>
      <w:r>
        <w:t xml:space="preserve"/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404040"/>
          <w:sz w:val="24"/>
          <w:szCs w:val="24"/>
        </w:rPr>
        <w:t xml:space="preserve">TEST KEY Shows NETWORK ERROR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Open https://api.anthropic.com in a new tab first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Try Chrome — some browsers block cross-origin API calls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Disable browser extensions temporarily</w:t>
      </w:r>
    </w:p>
    <w:p>
      <w:r>
        <w:t xml:space="preserve"/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404040"/>
          <w:sz w:val="24"/>
          <w:szCs w:val="24"/>
        </w:rPr>
        <w:t xml:space="preserve">Sector Cards Not Visible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Click ALL filter to reset — a filter may be hiding cards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Clear the search bar</w:t>
      </w:r>
    </w:p>
    <w:p>
      <w:pPr>
        <w:pStyle w:val="ListParagraph"/>
        <w:numPr>
          <w:ilvl w:val="0"/>
          <w:numId w:val="1"/>
        </w:numPr>
        <w:spacing w:after="40" w:before="40"/>
      </w:pPr>
      <w:r>
        <w:rPr>
          <w:rFonts w:ascii="Calibri" w:cs="Calibri" w:eastAsia="Calibri" w:hAnsi="Calibri"/>
          <w:color w:val="1F1F1F"/>
          <w:sz w:val="22"/>
          <w:szCs w:val="22"/>
        </w:rPr>
        <w:t xml:space="preserve">Hard refresh: Ctrl+Shift+R (Windows/Linux) or Cmd+Shift+R (Mac)</w:t>
      </w:r>
    </w:p>
    <w:p>
      <w:pPr>
        <w:pBdr>
          <w:bottom w:val="single" w:color="00B050" w:sz="6" w:space="1"/>
        </w:pBdr>
        <w:spacing w:after="200" w:before="200"/>
      </w:pPr>
    </w:p>
    <w:p>
      <w:r>
        <w:t xml:space="preserve"/>
      </w:r>
    </w:p>
    <w:p>
      <w:pPr>
        <w:jc w:val="center"/>
      </w:pPr>
      <w:r>
        <w:rPr>
          <w:rFonts w:ascii="Calibri" w:cs="Calibri" w:eastAsia="Calibri" w:hAnsi="Calibri"/>
          <w:b/>
          <w:bCs/>
          <w:color w:val="00B050"/>
          <w:sz w:val="24"/>
          <w:szCs w:val="24"/>
        </w:rPr>
        <w:t xml:space="preserve">GHOST 2210 CREW  |  CI THREAT MAP v3.0  |  JUNE 2026</w:t>
      </w:r>
    </w:p>
    <w:p>
      <w:pPr>
        <w:jc w:val="center"/>
      </w:pPr>
      <w:r>
        <w:rPr>
          <w:rFonts w:ascii="Calibri" w:cs="Calibri" w:eastAsia="Calibri" w:hAnsi="Calibri"/>
          <w:i/>
          <w:iCs/>
          <w:color w:val="404040"/>
          <w:sz w:val="18"/>
          <w:szCs w:val="18"/>
        </w:rPr>
        <w:t xml:space="preserve">DEFEND ALWAYS  |  16 CISA SECTORS  |  LEADERSHIP REPORT  |  TLP:CLEAR  |  DEFENSIVE USE ONLY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B050" w:sz="4" w:space="1"/>
      </w:pBdr>
      <w:jc w:val="center"/>
    </w:pPr>
    <w:r>
      <w:rPr>
        <w:rFonts w:ascii="Calibri" w:cs="Calibri" w:eastAsia="Calibri" w:hAnsi="Calibri"/>
        <w:color w:val="404040"/>
        <w:sz w:val="18"/>
        <w:szCs w:val="18"/>
      </w:rPr>
      <w:t xml:space="preserve">GHOST 2210 CREW  |  DEFEND ALWAYS  |  Page </w:t>
    </w:r>
    <w:r>
      <w:rPr>
        <w:rFonts w:ascii="Calibri" w:cs="Calibri" w:eastAsia="Calibri" w:hAnsi="Calibri"/>
        <w:color w:val="40404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404040"/>
        <w:sz w:val="18"/>
        <w:szCs w:val="18"/>
      </w:rPr>
      <w:t xml:space="preserve"> of </w:t>
    </w:r>
    <w:r>
      <w:rPr>
        <w:rFonts w:ascii="Calibri" w:cs="Calibri" w:eastAsia="Calibri" w:hAnsi="Calibri"/>
        <w:color w:val="40404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B050" w:sz="4" w:space="1"/>
      </w:pBdr>
      <w:jc w:val="right"/>
    </w:pPr>
    <w:r>
      <w:rPr>
        <w:rFonts w:ascii="Calibri" w:cs="Calibri" w:eastAsia="Calibri" w:hAnsi="Calibri"/>
        <w:color w:val="404040"/>
        <w:sz w:val="18"/>
        <w:szCs w:val="18"/>
      </w:rPr>
      <w:t xml:space="preserve">GHOST 2210 CREW  |  CI THREAT MAP USER GUIDE v3.0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 Threat Map User Guide v3.0</dc:title>
  <dc:creator>Ghost 2210 Crew</dc:creator>
  <cp:lastModifiedBy>Un-named</cp:lastModifiedBy>
  <cp:revision>1</cp:revision>
  <dcterms:created xsi:type="dcterms:W3CDTF">2026-06-07T11:36:29.508Z</dcterms:created>
  <dcterms:modified xsi:type="dcterms:W3CDTF">2026-06-07T11:36:29.508Z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