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 w:before="480"/>
      </w:pPr>
      <w:r>
        <w:rPr>
          <w:rFonts w:ascii="Courier New" w:cs="Courier New" w:eastAsia="Courier New" w:hAnsi="Courier New"/>
          <w:b/>
          <w:bCs/>
          <w:color w:val="006620"/>
          <w:spacing w:val="200"/>
          <w:sz w:val="20"/>
          <w:szCs w:val="20"/>
        </w:rPr>
        <w:t xml:space="preserve">GHOST 2210 CREW</w:t>
      </w:r>
    </w:p>
    <w:p>
      <w:pPr>
        <w:spacing w:after="20" w:before="0"/>
      </w:pPr>
      <w:r>
        <w:rPr>
          <w:rFonts w:ascii="Arial" w:cs="Arial" w:eastAsia="Arial" w:hAnsi="Arial"/>
          <w:b/>
          <w:bCs/>
          <w:color w:val="0D1F0D"/>
          <w:sz w:val="56"/>
          <w:szCs w:val="56"/>
        </w:rPr>
        <w:t xml:space="preserve">Toolkit Limitations</w:t>
      </w:r>
    </w:p>
    <w:p>
      <w:pPr>
        <w:spacing w:after="20" w:before="0"/>
      </w:pPr>
      <w:r>
        <w:rPr>
          <w:rFonts w:ascii="Arial" w:cs="Arial" w:eastAsia="Arial" w:hAnsi="Arial"/>
          <w:color w:val="CC0000"/>
          <w:sz w:val="40"/>
          <w:szCs w:val="40"/>
        </w:rPr>
        <w:t xml:space="preserve">&amp; Constraints Document</w:t>
      </w:r>
    </w:p>
    <w:p>
      <w:pPr>
        <w:spacing w:after="20" w:before="0"/>
      </w:pPr>
      <w:r>
        <w:rPr>
          <w:rFonts w:ascii="Arial" w:cs="Arial" w:eastAsia="Arial" w:hAnsi="Arial"/>
          <w:color w:val="6A7A6A"/>
          <w:sz w:val="24"/>
          <w:szCs w:val="24"/>
        </w:rPr>
        <w:t xml:space="preserve">Version 1.0  ·  June 2026  ·  38-Tool Defensive Security Toolkit</w:t>
      </w:r>
    </w:p>
    <w:p>
      <w:pPr>
        <w:pBdr>
          <w:bottom w:val="single" w:color="00AA20" w:sz="12" w:space="2"/>
        </w:pBdr>
        <w:spacing w:after="60" w:before="0"/>
      </w:pPr>
      <w:r>
        <w:t xml:space="preserve"/>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0000" w:sz="4"/>
              <w:left w:val="single" w:color="CC0000" w:sz="16"/>
              <w:bottom w:val="single" w:color="CC0000" w:sz="4"/>
              <w:right w:val="single" w:color="CC0000" w:sz="4"/>
            </w:tcBorders>
            <w:shd w:fill="FFF0F0" w:val="clear"/>
            <w:tcMar>
              <w:top w:type="dxa" w:w="160"/>
              <w:left w:type="dxa" w:w="240"/>
              <w:bottom w:type="dxa" w:w="160"/>
              <w:right w:type="dxa" w:w="240"/>
            </w:tcMar>
          </w:tcPr>
          <w:p>
            <w:pPr>
              <w:spacing w:after="40" w:before="0"/>
            </w:pPr>
            <w:r>
              <w:rPr>
                <w:rFonts w:ascii="Arial" w:cs="Arial" w:eastAsia="Arial" w:hAnsi="Arial"/>
                <w:b/>
                <w:bCs/>
                <w:color w:val="CC0000"/>
                <w:sz w:val="22"/>
                <w:szCs w:val="22"/>
              </w:rPr>
              <w:t xml:space="preserve">Purpose of This Document</w:t>
            </w:r>
          </w:p>
          <w:p>
            <w:pPr>
              <w:spacing w:after="40" w:before="0"/>
            </w:pPr>
            <w:r>
              <w:rPr>
                <w:rFonts w:ascii="Arial" w:cs="Arial" w:eastAsia="Arial" w:hAnsi="Arial"/>
                <w:color w:val="1A2A1A"/>
                <w:sz w:val="22"/>
                <w:szCs w:val="22"/>
              </w:rPr>
              <w:t xml:space="preserve">This document provides an honest, complete assessment of the limitations, constraints, and risks of the Ghost 2210 Defensive Security Toolkit. It is intended for decision-makers evaluating the toolkit for operational use, demonstration, or as a reference implementation for AI-enabled defensive tooling.</w:t>
            </w:r>
          </w:p>
          <w:p>
            <w:pPr>
              <w:spacing w:after="80" w:before="60"/>
            </w:pPr>
            <w:r>
              <w:rPr>
                <w:rFonts w:ascii="Arial" w:cs="Arial" w:eastAsia="Arial" w:hAnsi="Arial"/>
                <w:color w:val="1A2A1A"/>
                <w:sz w:val="22"/>
                <w:szCs w:val="22"/>
              </w:rPr>
              <w:t xml:space="preserve">A tool that overstates its capabilities is more dangerous than one that understates them. Defenders who understand what Ghost 2210 cannot do will use it more effectively and make better decisions about where to complement it with other capabilities.</w:t>
            </w:r>
          </w:p>
        </w:tc>
      </w:tr>
    </w:tbl>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5500" w:sz="4"/>
              <w:left w:val="single" w:color="CC5500" w:sz="16"/>
              <w:bottom w:val="single" w:color="CC5500" w:sz="4"/>
              <w:right w:val="single" w:color="CC5500" w:sz="4"/>
            </w:tcBorders>
            <w:shd w:fill="FFF8F0" w:val="clear"/>
            <w:tcMar>
              <w:top w:type="dxa" w:w="160"/>
              <w:left w:type="dxa" w:w="240"/>
              <w:bottom w:type="dxa" w:w="160"/>
              <w:right w:type="dxa" w:w="240"/>
            </w:tcMar>
          </w:tcPr>
          <w:p>
            <w:pPr>
              <w:spacing w:after="40" w:before="0"/>
            </w:pPr>
            <w:r>
              <w:rPr>
                <w:rFonts w:ascii="Arial" w:cs="Arial" w:eastAsia="Arial" w:hAnsi="Arial"/>
                <w:b/>
                <w:bCs/>
                <w:color w:val="CC5500"/>
                <w:sz w:val="22"/>
                <w:szCs w:val="22"/>
              </w:rPr>
              <w:t xml:space="preserve">Bottom Line Up Front</w:t>
            </w:r>
          </w:p>
          <w:p>
            <w:pPr>
              <w:pStyle w:val="ListParagraph"/>
              <w:numPr>
                <w:ilvl w:val="0"/>
                <w:numId w:val="2"/>
              </w:numPr>
              <w:spacing w:after="60" w:before="40"/>
            </w:pPr>
            <w:r>
              <w:rPr>
                <w:rFonts w:ascii="Arial" w:cs="Arial" w:eastAsia="Arial" w:hAnsi="Arial"/>
                <w:color w:val="1A2A1A"/>
                <w:sz w:val="22"/>
                <w:szCs w:val="22"/>
              </w:rPr>
              <w:t xml:space="preserve">Ghost 2210 is a proof-of-concept demonstration toolkit, not a production security platform</w:t>
            </w:r>
          </w:p>
          <w:p>
            <w:pPr>
              <w:pStyle w:val="ListParagraph"/>
              <w:numPr>
                <w:ilvl w:val="0"/>
                <w:numId w:val="2"/>
              </w:numPr>
              <w:spacing w:after="60" w:before="40"/>
            </w:pPr>
            <w:r>
              <w:rPr>
                <w:rFonts w:ascii="Arial" w:cs="Arial" w:eastAsia="Arial" w:hAnsi="Arial"/>
                <w:color w:val="1A2A1A"/>
                <w:sz w:val="22"/>
                <w:szCs w:val="22"/>
              </w:rPr>
              <w:t xml:space="preserve">It has not been independently security audited or penetration tested</w:t>
            </w:r>
          </w:p>
          <w:p>
            <w:pPr>
              <w:pStyle w:val="ListParagraph"/>
              <w:numPr>
                <w:ilvl w:val="0"/>
                <w:numId w:val="2"/>
              </w:numPr>
              <w:spacing w:after="60" w:before="40"/>
            </w:pPr>
            <w:r>
              <w:rPr>
                <w:rFonts w:ascii="Arial" w:cs="Arial" w:eastAsia="Arial" w:hAnsi="Arial"/>
                <w:color w:val="1A2A1A"/>
                <w:sz w:val="22"/>
                <w:szCs w:val="22"/>
              </w:rPr>
              <w:t xml:space="preserve">It depends on public third-party APIs that can be unavailable, rate-limited, or discontinued</w:t>
            </w:r>
          </w:p>
          <w:p>
            <w:pPr>
              <w:pStyle w:val="ListParagraph"/>
              <w:numPr>
                <w:ilvl w:val="0"/>
                <w:numId w:val="2"/>
              </w:numPr>
              <w:spacing w:after="60" w:before="40"/>
            </w:pPr>
            <w:r>
              <w:rPr>
                <w:rFonts w:ascii="Arial" w:cs="Arial" w:eastAsia="Arial" w:hAnsi="Arial"/>
                <w:color w:val="1A2A1A"/>
                <w:sz w:val="22"/>
                <w:szCs w:val="22"/>
              </w:rPr>
              <w:t xml:space="preserve">All intelligence data is curated or public — it does not replace dedicated threat intelligence platforms</w:t>
            </w:r>
          </w:p>
          <w:p>
            <w:pPr>
              <w:pStyle w:val="ListParagraph"/>
              <w:numPr>
                <w:ilvl w:val="0"/>
                <w:numId w:val="2"/>
              </w:numPr>
              <w:spacing w:after="60" w:before="40"/>
            </w:pPr>
            <w:r>
              <w:rPr>
                <w:rFonts w:ascii="Arial" w:cs="Arial" w:eastAsia="Arial" w:hAnsi="Arial"/>
                <w:color w:val="1A2A1A"/>
                <w:sz w:val="22"/>
                <w:szCs w:val="22"/>
              </w:rPr>
              <w:t xml:space="preserve">It is appropriate for: demonstration, training, small team defensive support, and reference implementation</w:t>
            </w:r>
          </w:p>
          <w:p>
            <w:pPr>
              <w:pStyle w:val="ListParagraph"/>
              <w:numPr>
                <w:ilvl w:val="0"/>
                <w:numId w:val="2"/>
              </w:numPr>
              <w:spacing w:after="60" w:before="40"/>
            </w:pPr>
            <w:r>
              <w:rPr>
                <w:rFonts w:ascii="Arial" w:cs="Arial" w:eastAsia="Arial" w:hAnsi="Arial"/>
                <w:color w:val="1A2A1A"/>
                <w:sz w:val="22"/>
                <w:szCs w:val="22"/>
              </w:rPr>
              <w:t xml:space="preserve">It is not appropriate for: classified environments, sole-reliance for critical infrastructure defense, or enterprise SOC replacement</w:t>
            </w:r>
          </w:p>
        </w:tc>
      </w:tr>
    </w:tbl>
    <w:p>
      <w:pPr>
        <w:spacing w:after="0" w:before="60"/>
      </w:pPr>
      <w:r>
        <w:t xml:space="preserve"/>
      </w:r>
    </w:p>
    <w:p>
      <w:pPr>
        <w:spacing w:after="0" w:before="0"/>
        <w:jc w:val="center"/>
      </w:pPr>
      <w:r>
        <w:rPr>
          <w:rFonts w:ascii="Arial" w:cs="Arial" w:eastAsia="Arial" w:hAnsi="Arial"/>
          <w:b/>
          <w:bCs/>
          <w:color w:val="006620"/>
          <w:sz w:val="24"/>
          <w:szCs w:val="24"/>
        </w:rPr>
        <w:t xml:space="preserve">DEFEND ALWAYS — WITH HONEST CAPABILITY ASSESSMENT  🛡️</w:t>
      </w:r>
    </w:p>
    <w:p>
      <w:r>
        <w:br w:type="page"/>
      </w:r>
    </w:p>
    <w:p>
      <w:pPr>
        <w:pStyle w:val="Heading1"/>
        <w:pBdr>
          <w:bottom w:val="single" w:color="00AA20" w:sz="8" w:space="6"/>
        </w:pBdr>
        <w:spacing w:after="120" w:before="320"/>
      </w:pPr>
      <w:r>
        <w:rPr>
          <w:rFonts w:ascii="Arial" w:cs="Arial" w:eastAsia="Arial" w:hAnsi="Arial"/>
          <w:b/>
          <w:bCs/>
          <w:color w:val="0D1F0D"/>
          <w:sz w:val="32"/>
          <w:szCs w:val="32"/>
        </w:rPr>
        <w:t xml:space="preserve">1. What Ghost 2210 Is — And Is Not</w:t>
      </w:r>
    </w:p>
    <w:p>
      <w:pPr>
        <w:spacing w:after="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4800"/>
      </w:tblGrid>
      <w:tr>
        <w:tc>
          <w:tcPr>
            <w:tcW w:type="dxa" w:w="4560"/>
            <w:tcBorders>
              <w:top w:val="single" w:color="006620" w:sz="1"/>
              <w:left w:val="single" w:color="006620" w:sz="1"/>
              <w:bottom w:val="single" w:color="006620" w:sz="1"/>
              <w:right w:val="single" w:color="006620" w:sz="1"/>
            </w:tcBorders>
            <w:shd w:fill="006620" w:val="clear"/>
            <w:tcMar>
              <w:top w:type="dxa" w:w="90"/>
              <w:left w:type="dxa" w:w="120"/>
              <w:bottom w:type="dxa" w:w="90"/>
              <w:right w:type="dxa" w:w="120"/>
            </w:tcMar>
          </w:tcPr>
          <w:p>
            <w:r>
              <w:rPr>
                <w:rFonts w:ascii="Arial" w:cs="Arial" w:eastAsia="Arial" w:hAnsi="Arial"/>
                <w:b/>
                <w:bCs/>
                <w:color w:val="FFFFFF"/>
                <w:sz w:val="19"/>
                <w:szCs w:val="19"/>
              </w:rPr>
              <w:t xml:space="preserve">✓  What It Is</w:t>
            </w:r>
          </w:p>
        </w:tc>
        <w:tc>
          <w:tcPr>
            <w:tcW w:type="dxa" w:w="4800"/>
            <w:tcBorders>
              <w:top w:val="single" w:color="CC0000" w:sz="1"/>
              <w:left w:val="single" w:color="CC0000" w:sz="1"/>
              <w:bottom w:val="single" w:color="CC0000" w:sz="1"/>
              <w:right w:val="single" w:color="CC0000" w:sz="1"/>
            </w:tcBorders>
            <w:shd w:fill="CC0000" w:val="clear"/>
            <w:tcMar>
              <w:top w:type="dxa" w:w="90"/>
              <w:left w:type="dxa" w:w="120"/>
              <w:bottom w:type="dxa" w:w="90"/>
              <w:right w:type="dxa" w:w="120"/>
            </w:tcMar>
          </w:tcPr>
          <w:p>
            <w:r>
              <w:rPr>
                <w:rFonts w:ascii="Arial" w:cs="Arial" w:eastAsia="Arial" w:hAnsi="Arial"/>
                <w:b/>
                <w:bCs/>
                <w:color w:val="FFFFFF"/>
                <w:sz w:val="19"/>
                <w:szCs w:val="19"/>
              </w:rPr>
              <w:t xml:space="preserve">✗  What It Is Not</w:t>
            </w:r>
          </w:p>
        </w:tc>
      </w:tr>
      <w:tr>
        <w:tc>
          <w:tcPr>
            <w:tcW w:type="dxa" w:w="456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pPr>
              <w:spacing w:after="20" w:before="0"/>
            </w:pPr>
            <w:r>
              <w:rPr>
                <w:rFonts w:ascii="Arial" w:cs="Arial" w:eastAsia="Arial" w:hAnsi="Arial"/>
                <w:b/>
                <w:bCs/>
                <w:color w:val="0D1F0D"/>
                <w:sz w:val="22"/>
                <w:szCs w:val="22"/>
              </w:rPr>
              <w:t xml:space="preserve">A demonstration platform</w:t>
            </w:r>
          </w:p>
          <w:p>
            <w:pPr>
              <w:pStyle w:val="ListParagraph"/>
              <w:numPr>
                <w:ilvl w:val="1"/>
                <w:numId w:val="2"/>
              </w:numPr>
              <w:spacing w:after="60" w:before="40"/>
            </w:pPr>
            <w:r>
              <w:rPr>
                <w:rFonts w:ascii="Arial" w:cs="Arial" w:eastAsia="Arial" w:hAnsi="Arial"/>
                <w:color w:val="1A2A1A"/>
                <w:sz w:val="22"/>
                <w:szCs w:val="22"/>
              </w:rPr>
              <w:t xml:space="preserve">Shows what AI-enabled defensive tooling can look like</w:t>
            </w:r>
          </w:p>
          <w:p>
            <w:pPr>
              <w:pStyle w:val="ListParagraph"/>
              <w:numPr>
                <w:ilvl w:val="1"/>
                <w:numId w:val="2"/>
              </w:numPr>
              <w:spacing w:after="60" w:before="40"/>
            </w:pPr>
            <w:r>
              <w:rPr>
                <w:rFonts w:ascii="Arial" w:cs="Arial" w:eastAsia="Arial" w:hAnsi="Arial"/>
                <w:color w:val="1A2A1A"/>
                <w:sz w:val="22"/>
                <w:szCs w:val="22"/>
              </w:rPr>
              <w:t xml:space="preserve">Demonstrates rapid development at low cost</w:t>
            </w:r>
          </w:p>
          <w:p>
            <w:pPr>
              <w:pStyle w:val="ListParagraph"/>
              <w:numPr>
                <w:ilvl w:val="1"/>
                <w:numId w:val="2"/>
              </w:numPr>
              <w:spacing w:after="60" w:before="40"/>
            </w:pPr>
            <w:r>
              <w:rPr>
                <w:rFonts w:ascii="Arial" w:cs="Arial" w:eastAsia="Arial" w:hAnsi="Arial"/>
                <w:color w:val="1A2A1A"/>
                <w:sz w:val="22"/>
                <w:szCs w:val="22"/>
              </w:rPr>
              <w:t xml:space="preserve">Reference implementation for federal AI cyber programs</w:t>
            </w:r>
          </w:p>
          <w:p>
            <w:pPr>
              <w:spacing w:after="0" w:before="20"/>
            </w:pPr>
            <w:r>
              <w:t xml:space="preserve"/>
            </w:r>
          </w:p>
          <w:p>
            <w:pPr>
              <w:spacing w:after="20" w:before="0"/>
            </w:pPr>
            <w:r>
              <w:rPr>
                <w:rFonts w:ascii="Arial" w:cs="Arial" w:eastAsia="Arial" w:hAnsi="Arial"/>
                <w:b/>
                <w:bCs/>
                <w:color w:val="0D1F0D"/>
                <w:sz w:val="22"/>
                <w:szCs w:val="22"/>
              </w:rPr>
              <w:t xml:space="preserve">A practical support tool</w:t>
            </w:r>
          </w:p>
          <w:p>
            <w:pPr>
              <w:pStyle w:val="ListParagraph"/>
              <w:numPr>
                <w:ilvl w:val="1"/>
                <w:numId w:val="2"/>
              </w:numPr>
              <w:spacing w:after="60" w:before="40"/>
            </w:pPr>
            <w:r>
              <w:rPr>
                <w:rFonts w:ascii="Arial" w:cs="Arial" w:eastAsia="Arial" w:hAnsi="Arial"/>
                <w:color w:val="1A2A1A"/>
                <w:sz w:val="22"/>
                <w:szCs w:val="22"/>
              </w:rPr>
              <w:t xml:space="preserve">Useful for small teams and resource-constrained organizations</w:t>
            </w:r>
          </w:p>
          <w:p>
            <w:pPr>
              <w:pStyle w:val="ListParagraph"/>
              <w:numPr>
                <w:ilvl w:val="1"/>
                <w:numId w:val="2"/>
              </w:numPr>
              <w:spacing w:after="60" w:before="40"/>
            </w:pPr>
            <w:r>
              <w:rPr>
                <w:rFonts w:ascii="Arial" w:cs="Arial" w:eastAsia="Arial" w:hAnsi="Arial"/>
                <w:color w:val="1A2A1A"/>
                <w:sz w:val="22"/>
                <w:szCs w:val="22"/>
              </w:rPr>
              <w:t xml:space="preserve">Starting point for daily threat intelligence workflows</w:t>
            </w:r>
          </w:p>
          <w:p>
            <w:pPr>
              <w:pStyle w:val="ListParagraph"/>
              <w:numPr>
                <w:ilvl w:val="1"/>
                <w:numId w:val="2"/>
              </w:numPr>
              <w:spacing w:after="60" w:before="40"/>
            </w:pPr>
            <w:r>
              <w:rPr>
                <w:rFonts w:ascii="Arial" w:cs="Arial" w:eastAsia="Arial" w:hAnsi="Arial"/>
                <w:color w:val="1A2A1A"/>
                <w:sz w:val="22"/>
                <w:szCs w:val="22"/>
              </w:rPr>
              <w:t xml:space="preserve">Training and awareness platform</w:t>
            </w:r>
          </w:p>
          <w:p>
            <w:pPr>
              <w:pStyle w:val="ListParagraph"/>
              <w:numPr>
                <w:ilvl w:val="1"/>
                <w:numId w:val="2"/>
              </w:numPr>
              <w:spacing w:after="60" w:before="40"/>
            </w:pPr>
            <w:r>
              <w:rPr>
                <w:rFonts w:ascii="Arial" w:cs="Arial" w:eastAsia="Arial" w:hAnsi="Arial"/>
                <w:color w:val="1A2A1A"/>
                <w:sz w:val="22"/>
                <w:szCs w:val="22"/>
              </w:rPr>
              <w:t xml:space="preserve">First-response tooling during incidents</w:t>
            </w:r>
          </w:p>
          <w:p>
            <w:pPr>
              <w:spacing w:after="0" w:before="20"/>
            </w:pPr>
            <w:r>
              <w:t xml:space="preserve"/>
            </w:r>
          </w:p>
          <w:p>
            <w:pPr>
              <w:spacing w:after="20" w:before="0"/>
            </w:pPr>
            <w:r>
              <w:rPr>
                <w:rFonts w:ascii="Arial" w:cs="Arial" w:eastAsia="Arial" w:hAnsi="Arial"/>
                <w:b/>
                <w:bCs/>
                <w:color w:val="0D1F0D"/>
                <w:sz w:val="22"/>
                <w:szCs w:val="22"/>
              </w:rPr>
              <w:t xml:space="preserve">An open-source reference</w:t>
            </w:r>
          </w:p>
          <w:p>
            <w:pPr>
              <w:pStyle w:val="ListParagraph"/>
              <w:numPr>
                <w:ilvl w:val="1"/>
                <w:numId w:val="2"/>
              </w:numPr>
              <w:spacing w:after="60" w:before="40"/>
            </w:pPr>
            <w:r>
              <w:rPr>
                <w:rFonts w:ascii="Arial" w:cs="Arial" w:eastAsia="Arial" w:hAnsi="Arial"/>
                <w:color w:val="1A2A1A"/>
                <w:sz w:val="22"/>
                <w:szCs w:val="22"/>
              </w:rPr>
              <w:t xml:space="preserve">All code is browser-based HTML/JavaScript — fully inspectable</w:t>
            </w:r>
          </w:p>
          <w:p>
            <w:pPr>
              <w:pStyle w:val="ListParagraph"/>
              <w:numPr>
                <w:ilvl w:val="1"/>
                <w:numId w:val="2"/>
              </w:numPr>
              <w:spacing w:after="60" w:before="40"/>
            </w:pPr>
            <w:r>
              <w:rPr>
                <w:rFonts w:ascii="Arial" w:cs="Arial" w:eastAsia="Arial" w:hAnsi="Arial"/>
                <w:color w:val="1A2A1A"/>
                <w:sz w:val="22"/>
                <w:szCs w:val="22"/>
              </w:rPr>
              <w:t xml:space="preserve">All data sources are TLP:CLEAR and publicly documented</w:t>
            </w:r>
          </w:p>
          <w:p>
            <w:pPr>
              <w:pStyle w:val="ListParagraph"/>
              <w:numPr>
                <w:ilvl w:val="1"/>
                <w:numId w:val="2"/>
              </w:numPr>
              <w:spacing w:after="60" w:before="40"/>
            </w:pPr>
            <w:r>
              <w:rPr>
                <w:rFonts w:ascii="Arial" w:cs="Arial" w:eastAsia="Arial" w:hAnsi="Arial"/>
                <w:color w:val="1A2A1A"/>
                <w:sz w:val="22"/>
                <w:szCs w:val="22"/>
              </w:rPr>
              <w:t xml:space="preserve">Demonstrates what is achievable with minimal infrastructure</w:t>
            </w:r>
          </w:p>
        </w:tc>
        <w:tc>
          <w:tcPr>
            <w:tcW w:type="dxa" w:w="4800"/>
            <w:tcBorders>
              <w:top w:val="single" w:color="DDDDDD" w:sz="1"/>
              <w:left w:val="single" w:color="DDDDDD" w:sz="1"/>
              <w:bottom w:val="single" w:color="DDDDDD" w:sz="1"/>
              <w:right w:val="single" w:color="DDDDDD" w:sz="1"/>
            </w:tcBorders>
            <w:shd w:fill="FFF8F8" w:val="clear"/>
            <w:tcMar>
              <w:top w:type="dxa" w:w="80"/>
              <w:left w:type="dxa" w:w="120"/>
              <w:bottom w:type="dxa" w:w="80"/>
              <w:right w:type="dxa" w:w="120"/>
            </w:tcMar>
            <w:vAlign w:val="top"/>
          </w:tcPr>
          <w:p>
            <w:pPr>
              <w:spacing w:after="20" w:before="0"/>
            </w:pPr>
            <w:r>
              <w:rPr>
                <w:rFonts w:ascii="Arial" w:cs="Arial" w:eastAsia="Arial" w:hAnsi="Arial"/>
                <w:b/>
                <w:bCs/>
                <w:color w:val="CC0000"/>
                <w:sz w:val="22"/>
                <w:szCs w:val="22"/>
              </w:rPr>
              <w:t xml:space="preserve">Not a production security platform</w:t>
            </w:r>
          </w:p>
          <w:p>
            <w:pPr>
              <w:pStyle w:val="ListParagraph"/>
              <w:numPr>
                <w:ilvl w:val="1"/>
                <w:numId w:val="2"/>
              </w:numPr>
              <w:spacing w:after="60" w:before="40"/>
            </w:pPr>
            <w:r>
              <w:rPr>
                <w:rFonts w:ascii="Arial" w:cs="Arial" w:eastAsia="Arial" w:hAnsi="Arial"/>
                <w:color w:val="1A2A1A"/>
                <w:sz w:val="22"/>
                <w:szCs w:val="22"/>
              </w:rPr>
              <w:t xml:space="preserve">Has not been security audited or pen tested</w:t>
            </w:r>
          </w:p>
          <w:p>
            <w:pPr>
              <w:pStyle w:val="ListParagraph"/>
              <w:numPr>
                <w:ilvl w:val="1"/>
                <w:numId w:val="2"/>
              </w:numPr>
              <w:spacing w:after="60" w:before="40"/>
            </w:pPr>
            <w:r>
              <w:rPr>
                <w:rFonts w:ascii="Arial" w:cs="Arial" w:eastAsia="Arial" w:hAnsi="Arial"/>
                <w:color w:val="1A2A1A"/>
                <w:sz w:val="22"/>
                <w:szCs w:val="22"/>
              </w:rPr>
              <w:t xml:space="preserve">Not suitable as sole defensive capability</w:t>
            </w:r>
          </w:p>
          <w:p>
            <w:pPr>
              <w:pStyle w:val="ListParagraph"/>
              <w:numPr>
                <w:ilvl w:val="1"/>
                <w:numId w:val="2"/>
              </w:numPr>
              <w:spacing w:after="60" w:before="40"/>
            </w:pPr>
            <w:r>
              <w:rPr>
                <w:rFonts w:ascii="Arial" w:cs="Arial" w:eastAsia="Arial" w:hAnsi="Arial"/>
                <w:color w:val="1A2A1A"/>
                <w:sz w:val="22"/>
                <w:szCs w:val="22"/>
              </w:rPr>
              <w:t xml:space="preserve">Not validated against real-world threat scenarios at scale</w:t>
            </w:r>
          </w:p>
          <w:p>
            <w:pPr>
              <w:spacing w:after="0" w:before="20"/>
            </w:pPr>
            <w:r>
              <w:t xml:space="preserve"/>
            </w:r>
          </w:p>
          <w:p>
            <w:pPr>
              <w:spacing w:after="20" w:before="0"/>
            </w:pPr>
            <w:r>
              <w:rPr>
                <w:rFonts w:ascii="Arial" w:cs="Arial" w:eastAsia="Arial" w:hAnsi="Arial"/>
                <w:b/>
                <w:bCs/>
                <w:color w:val="CC0000"/>
                <w:sz w:val="22"/>
                <w:szCs w:val="22"/>
              </w:rPr>
              <w:t xml:space="preserve">Not a replacement for enterprise tools</w:t>
            </w:r>
          </w:p>
          <w:p>
            <w:pPr>
              <w:pStyle w:val="ListParagraph"/>
              <w:numPr>
                <w:ilvl w:val="1"/>
                <w:numId w:val="2"/>
              </w:numPr>
              <w:spacing w:after="60" w:before="40"/>
            </w:pPr>
            <w:r>
              <w:rPr>
                <w:rFonts w:ascii="Arial" w:cs="Arial" w:eastAsia="Arial" w:hAnsi="Arial"/>
                <w:color w:val="1A2A1A"/>
                <w:sz w:val="22"/>
                <w:szCs w:val="22"/>
              </w:rPr>
              <w:t xml:space="preserve">Does not replace Splunk, Elastic, Microsoft Sentinel, or similar SIEM</w:t>
            </w:r>
          </w:p>
          <w:p>
            <w:pPr>
              <w:pStyle w:val="ListParagraph"/>
              <w:numPr>
                <w:ilvl w:val="1"/>
                <w:numId w:val="2"/>
              </w:numPr>
              <w:spacing w:after="60" w:before="40"/>
            </w:pPr>
            <w:r>
              <w:rPr>
                <w:rFonts w:ascii="Arial" w:cs="Arial" w:eastAsia="Arial" w:hAnsi="Arial"/>
                <w:color w:val="1A2A1A"/>
                <w:sz w:val="22"/>
                <w:szCs w:val="22"/>
              </w:rPr>
              <w:t xml:space="preserve">Does not replace CrowdStrike, SentinelOne, or EDR platforms</w:t>
            </w:r>
          </w:p>
          <w:p>
            <w:pPr>
              <w:pStyle w:val="ListParagraph"/>
              <w:numPr>
                <w:ilvl w:val="1"/>
                <w:numId w:val="2"/>
              </w:numPr>
              <w:spacing w:after="60" w:before="40"/>
            </w:pPr>
            <w:r>
              <w:rPr>
                <w:rFonts w:ascii="Arial" w:cs="Arial" w:eastAsia="Arial" w:hAnsi="Arial"/>
                <w:color w:val="1A2A1A"/>
                <w:sz w:val="22"/>
                <w:szCs w:val="22"/>
              </w:rPr>
              <w:t xml:space="preserve">Does not replace dedicated threat intelligence platforms</w:t>
            </w:r>
          </w:p>
          <w:p>
            <w:pPr>
              <w:pStyle w:val="ListParagraph"/>
              <w:numPr>
                <w:ilvl w:val="1"/>
                <w:numId w:val="2"/>
              </w:numPr>
              <w:spacing w:after="60" w:before="40"/>
            </w:pPr>
            <w:r>
              <w:rPr>
                <w:rFonts w:ascii="Arial" w:cs="Arial" w:eastAsia="Arial" w:hAnsi="Arial"/>
                <w:color w:val="1A2A1A"/>
                <w:sz w:val="22"/>
                <w:szCs w:val="22"/>
              </w:rPr>
              <w:t xml:space="preserve">Does not provide endpoint visibility or network monitoring</w:t>
            </w:r>
          </w:p>
          <w:p>
            <w:pPr>
              <w:spacing w:after="0" w:before="20"/>
            </w:pPr>
            <w:r>
              <w:t xml:space="preserve"/>
            </w:r>
          </w:p>
          <w:p>
            <w:pPr>
              <w:spacing w:after="20" w:before="0"/>
            </w:pPr>
            <w:r>
              <w:rPr>
                <w:rFonts w:ascii="Arial" w:cs="Arial" w:eastAsia="Arial" w:hAnsi="Arial"/>
                <w:b/>
                <w:bCs/>
                <w:color w:val="CC0000"/>
                <w:sz w:val="22"/>
                <w:szCs w:val="22"/>
              </w:rPr>
              <w:t xml:space="preserve">Not certified or endorsed</w:t>
            </w:r>
          </w:p>
          <w:p>
            <w:pPr>
              <w:pStyle w:val="ListParagraph"/>
              <w:numPr>
                <w:ilvl w:val="1"/>
                <w:numId w:val="2"/>
              </w:numPr>
              <w:spacing w:after="60" w:before="40"/>
            </w:pPr>
            <w:r>
              <w:rPr>
                <w:rFonts w:ascii="Arial" w:cs="Arial" w:eastAsia="Arial" w:hAnsi="Arial"/>
                <w:color w:val="1A2A1A"/>
                <w:sz w:val="22"/>
                <w:szCs w:val="22"/>
              </w:rPr>
              <w:t xml:space="preserve">No FedRAMP authorization</w:t>
            </w:r>
          </w:p>
          <w:p>
            <w:pPr>
              <w:pStyle w:val="ListParagraph"/>
              <w:numPr>
                <w:ilvl w:val="1"/>
                <w:numId w:val="2"/>
              </w:numPr>
              <w:spacing w:after="60" w:before="40"/>
            </w:pPr>
            <w:r>
              <w:rPr>
                <w:rFonts w:ascii="Arial" w:cs="Arial" w:eastAsia="Arial" w:hAnsi="Arial"/>
                <w:color w:val="1A2A1A"/>
                <w:sz w:val="22"/>
                <w:szCs w:val="22"/>
              </w:rPr>
              <w:t xml:space="preserve">No FIPS certification</w:t>
            </w:r>
          </w:p>
          <w:p>
            <w:pPr>
              <w:pStyle w:val="ListParagraph"/>
              <w:numPr>
                <w:ilvl w:val="1"/>
                <w:numId w:val="2"/>
              </w:numPr>
              <w:spacing w:after="60" w:before="40"/>
            </w:pPr>
            <w:r>
              <w:rPr>
                <w:rFonts w:ascii="Arial" w:cs="Arial" w:eastAsia="Arial" w:hAnsi="Arial"/>
                <w:color w:val="1A2A1A"/>
                <w:sz w:val="22"/>
                <w:szCs w:val="22"/>
              </w:rPr>
              <w:t xml:space="preserve">No government agency endorsement</w:t>
            </w:r>
          </w:p>
          <w:p>
            <w:pPr>
              <w:pStyle w:val="ListParagraph"/>
              <w:numPr>
                <w:ilvl w:val="1"/>
                <w:numId w:val="2"/>
              </w:numPr>
              <w:spacing w:after="60" w:before="40"/>
            </w:pPr>
            <w:r>
              <w:rPr>
                <w:rFonts w:ascii="Arial" w:cs="Arial" w:eastAsia="Arial" w:hAnsi="Arial"/>
                <w:color w:val="1A2A1A"/>
                <w:sz w:val="22"/>
                <w:szCs w:val="22"/>
              </w:rPr>
              <w:t xml:space="preserve">No formal security assessment</w:t>
            </w:r>
          </w:p>
        </w:tc>
      </w:tr>
    </w:tbl>
    <w:p>
      <w:r>
        <w:br w:type="page"/>
      </w:r>
    </w:p>
    <w:p>
      <w:pPr>
        <w:pStyle w:val="Heading1"/>
        <w:pBdr>
          <w:bottom w:val="single" w:color="00AA20" w:sz="8" w:space="6"/>
        </w:pBdr>
        <w:spacing w:after="120" w:before="320"/>
      </w:pPr>
      <w:r>
        <w:rPr>
          <w:rFonts w:ascii="Arial" w:cs="Arial" w:eastAsia="Arial" w:hAnsi="Arial"/>
          <w:b/>
          <w:bCs/>
          <w:color w:val="0D1F0D"/>
          <w:sz w:val="32"/>
          <w:szCs w:val="32"/>
        </w:rPr>
        <w:t xml:space="preserve">2. Technical Limitations</w:t>
      </w:r>
    </w:p>
    <w:p>
      <w:pPr>
        <w:spacing w:after="0" w:before="20"/>
      </w:pPr>
      <w:r>
        <w:t xml:space="preserve"/>
      </w:r>
    </w:p>
    <w:p>
      <w:pPr>
        <w:pStyle w:val="Heading2"/>
        <w:spacing w:after="80" w:before="240"/>
      </w:pPr>
      <w:r>
        <w:rPr>
          <w:rFonts w:ascii="Arial" w:cs="Arial" w:eastAsia="Arial" w:hAnsi="Arial"/>
          <w:b/>
          <w:bCs/>
          <w:color w:val="0D1F0D"/>
          <w:sz w:val="26"/>
          <w:szCs w:val="26"/>
        </w:rPr>
        <w:t xml:space="preserve">2.1  Browser-Based Architecture</w:t>
      </w:r>
    </w:p>
    <w:p>
      <w:pPr>
        <w:spacing w:after="80" w:before="60"/>
      </w:pPr>
      <w:r>
        <w:rPr>
          <w:rFonts w:ascii="Arial" w:cs="Arial" w:eastAsia="Arial" w:hAnsi="Arial"/>
          <w:color w:val="1A2A1A"/>
          <w:sz w:val="22"/>
          <w:szCs w:val="22"/>
        </w:rPr>
        <w:t xml:space="preserve">All 38 tools run entirely in the browser. This is both a strength and a constraint.</w:t>
      </w:r>
    </w:p>
    <w:p>
      <w:pPr>
        <w:spacing w:after="0" w:before="1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5500" w:sz="4"/>
              <w:left w:val="single" w:color="CC5500" w:sz="16"/>
              <w:bottom w:val="single" w:color="CC5500" w:sz="4"/>
              <w:right w:val="single" w:color="CC5500" w:sz="4"/>
            </w:tcBorders>
            <w:shd w:fill="FFF8F0" w:val="clear"/>
            <w:tcMar>
              <w:top w:type="dxa" w:w="160"/>
              <w:left w:type="dxa" w:w="240"/>
              <w:bottom w:type="dxa" w:w="160"/>
              <w:right w:type="dxa" w:w="240"/>
            </w:tcMar>
          </w:tcPr>
          <w:p>
            <w:pPr>
              <w:spacing w:after="30" w:before="0"/>
            </w:pPr>
            <w:r>
              <w:rPr>
                <w:rFonts w:ascii="Arial" w:cs="Arial" w:eastAsia="Arial" w:hAnsi="Arial"/>
                <w:b/>
                <w:bCs/>
                <w:color w:val="0D1F0D"/>
                <w:sz w:val="22"/>
                <w:szCs w:val="22"/>
              </w:rPr>
              <w:t xml:space="preserve">Limitations of browser-based execution:</w:t>
            </w:r>
          </w:p>
          <w:p>
            <w:pPr>
              <w:pStyle w:val="ListParagraph"/>
              <w:numPr>
                <w:ilvl w:val="0"/>
                <w:numId w:val="2"/>
              </w:numPr>
              <w:spacing w:after="60" w:before="40"/>
            </w:pPr>
            <w:r>
              <w:rPr>
                <w:rFonts w:ascii="Arial" w:cs="Arial" w:eastAsia="Arial" w:hAnsi="Arial"/>
                <w:color w:val="1A2A1A"/>
                <w:sz w:val="22"/>
                <w:szCs w:val="22"/>
              </w:rPr>
              <w:t xml:space="preserve">No persistent server-side processing — tools cannot run continuously without a browser window open</w:t>
            </w:r>
          </w:p>
          <w:p>
            <w:pPr>
              <w:pStyle w:val="ListParagraph"/>
              <w:numPr>
                <w:ilvl w:val="0"/>
                <w:numId w:val="2"/>
              </w:numPr>
              <w:spacing w:after="60" w:before="40"/>
            </w:pPr>
            <w:r>
              <w:rPr>
                <w:rFonts w:ascii="Arial" w:cs="Arial" w:eastAsia="Arial" w:hAnsi="Arial"/>
                <w:color w:val="1A2A1A"/>
                <w:sz w:val="22"/>
                <w:szCs w:val="22"/>
              </w:rPr>
              <w:t xml:space="preserve">Browser memory limits restrict large dataset processing — log files over ~50MB may cause performance issues</w:t>
            </w:r>
          </w:p>
          <w:p>
            <w:pPr>
              <w:pStyle w:val="ListParagraph"/>
              <w:numPr>
                <w:ilvl w:val="0"/>
                <w:numId w:val="2"/>
              </w:numPr>
              <w:spacing w:after="60" w:before="40"/>
            </w:pPr>
            <w:r>
              <w:rPr>
                <w:rFonts w:ascii="Arial" w:cs="Arial" w:eastAsia="Arial" w:hAnsi="Arial"/>
                <w:color w:val="1A2A1A"/>
                <w:sz w:val="22"/>
                <w:szCs w:val="22"/>
              </w:rPr>
              <w:t xml:space="preserve">No real-time monitoring capability — tools must be manually refreshed or rely on timed auto-refresh</w:t>
            </w:r>
          </w:p>
          <w:p>
            <w:pPr>
              <w:pStyle w:val="ListParagraph"/>
              <w:numPr>
                <w:ilvl w:val="0"/>
                <w:numId w:val="2"/>
              </w:numPr>
              <w:spacing w:after="60" w:before="40"/>
            </w:pPr>
            <w:r>
              <w:rPr>
                <w:rFonts w:ascii="Arial" w:cs="Arial" w:eastAsia="Arial" w:hAnsi="Arial"/>
                <w:color w:val="1A2A1A"/>
                <w:sz w:val="22"/>
                <w:szCs w:val="22"/>
              </w:rPr>
              <w:t xml:space="preserve">Cross-Origin Resource Sharing (CORS) restrictions block many direct API calls — proxy services are required</w:t>
            </w:r>
          </w:p>
          <w:p>
            <w:pPr>
              <w:pStyle w:val="ListParagraph"/>
              <w:numPr>
                <w:ilvl w:val="0"/>
                <w:numId w:val="2"/>
              </w:numPr>
              <w:spacing w:after="60" w:before="40"/>
            </w:pPr>
            <w:r>
              <w:rPr>
                <w:rFonts w:ascii="Arial" w:cs="Arial" w:eastAsia="Arial" w:hAnsi="Arial"/>
                <w:color w:val="1A2A1A"/>
                <w:sz w:val="22"/>
                <w:szCs w:val="22"/>
              </w:rPr>
              <w:t xml:space="preserve">Browser security sandbox prevents access to local network resources, filesystem, or system processes</w:t>
            </w:r>
          </w:p>
          <w:p>
            <w:pPr>
              <w:pStyle w:val="ListParagraph"/>
              <w:numPr>
                <w:ilvl w:val="0"/>
                <w:numId w:val="2"/>
              </w:numPr>
              <w:spacing w:after="60" w:before="40"/>
            </w:pPr>
            <w:r>
              <w:rPr>
                <w:rFonts w:ascii="Arial" w:cs="Arial" w:eastAsia="Arial" w:hAnsi="Arial"/>
                <w:color w:val="1A2A1A"/>
                <w:sz w:val="22"/>
                <w:szCs w:val="22"/>
              </w:rPr>
              <w:t xml:space="preserve">Tool state is lost when the browser tab is closed — only localStorage persists between sessions</w:t>
            </w:r>
          </w:p>
          <w:p>
            <w:pPr>
              <w:pStyle w:val="ListParagraph"/>
              <w:numPr>
                <w:ilvl w:val="0"/>
                <w:numId w:val="2"/>
              </w:numPr>
              <w:spacing w:after="60" w:before="40"/>
            </w:pPr>
            <w:r>
              <w:rPr>
                <w:rFonts w:ascii="Arial" w:cs="Arial" w:eastAsia="Arial" w:hAnsi="Arial"/>
                <w:color w:val="1A2A1A"/>
                <w:sz w:val="22"/>
                <w:szCs w:val="22"/>
              </w:rPr>
              <w:t xml:space="preserve">Performance varies significantly across browsers and devices — mobile experience is limited</w:t>
            </w:r>
          </w:p>
        </w:tc>
      </w:tr>
    </w:tbl>
    <w:p>
      <w:pPr>
        <w:spacing w:after="0" w:before="30"/>
      </w:pPr>
      <w:r>
        <w:t xml:space="preserve"/>
      </w:r>
    </w:p>
    <w:p>
      <w:pPr>
        <w:pStyle w:val="Heading2"/>
        <w:spacing w:after="80" w:before="240"/>
      </w:pPr>
      <w:r>
        <w:rPr>
          <w:rFonts w:ascii="Arial" w:cs="Arial" w:eastAsia="Arial" w:hAnsi="Arial"/>
          <w:b/>
          <w:bCs/>
          <w:color w:val="0D1F0D"/>
          <w:sz w:val="26"/>
          <w:szCs w:val="26"/>
        </w:rPr>
        <w:t xml:space="preserve">2.2  Third-Party API Dependencies</w:t>
      </w:r>
    </w:p>
    <w:p>
      <w:pPr>
        <w:spacing w:after="80" w:before="60"/>
      </w:pPr>
      <w:r>
        <w:rPr>
          <w:rFonts w:ascii="Arial" w:cs="Arial" w:eastAsia="Arial" w:hAnsi="Arial"/>
          <w:color w:val="1A2A1A"/>
          <w:sz w:val="22"/>
          <w:szCs w:val="22"/>
        </w:rPr>
        <w:t xml:space="preserve">Most tools depend on external public APIs. These dependencies introduce availability and reliability risks that are outside the control of Ghost 2210.</w:t>
      </w:r>
    </w:p>
    <w:p>
      <w:pPr>
        <w:spacing w:after="0" w:before="1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200"/>
        <w:gridCol w:w="2000"/>
        <w:gridCol w:w="1760"/>
      </w:tblGrid>
      <w:tr>
        <w:tc>
          <w:tcPr>
            <w:tcW w:type="dxa" w:w="2400"/>
            <w:tcBorders>
              <w:top w:val="single" w:color="0D1F0D" w:sz="1"/>
              <w:left w:val="single" w:color="0D1F0D" w:sz="1"/>
              <w:bottom w:val="single" w:color="0D1F0D" w:sz="1"/>
              <w:right w:val="single" w:color="0D1F0D" w:sz="1"/>
            </w:tcBorders>
            <w:shd w:fill="0D1F0D" w:val="clear"/>
            <w:tcMar>
              <w:top w:type="dxa" w:w="90"/>
              <w:left w:type="dxa" w:w="120"/>
              <w:bottom w:type="dxa" w:w="90"/>
              <w:right w:type="dxa" w:w="120"/>
            </w:tcMar>
          </w:tcPr>
          <w:p>
            <w:r>
              <w:rPr>
                <w:rFonts w:ascii="Arial" w:cs="Arial" w:eastAsia="Arial" w:hAnsi="Arial"/>
                <w:b/>
                <w:bCs/>
                <w:color w:val="FFFFFF"/>
                <w:sz w:val="19"/>
                <w:szCs w:val="19"/>
              </w:rPr>
              <w:t xml:space="preserve">API / Service</w:t>
            </w:r>
          </w:p>
        </w:tc>
        <w:tc>
          <w:tcPr>
            <w:tcW w:type="dxa" w:w="3200"/>
            <w:tcBorders>
              <w:top w:val="single" w:color="0D1F0D" w:sz="1"/>
              <w:left w:val="single" w:color="0D1F0D" w:sz="1"/>
              <w:bottom w:val="single" w:color="0D1F0D" w:sz="1"/>
              <w:right w:val="single" w:color="0D1F0D" w:sz="1"/>
            </w:tcBorders>
            <w:shd w:fill="0D1F0D" w:val="clear"/>
            <w:tcMar>
              <w:top w:type="dxa" w:w="90"/>
              <w:left w:type="dxa" w:w="120"/>
              <w:bottom w:type="dxa" w:w="90"/>
              <w:right w:type="dxa" w:w="120"/>
            </w:tcMar>
          </w:tcPr>
          <w:p>
            <w:r>
              <w:rPr>
                <w:rFonts w:ascii="Arial" w:cs="Arial" w:eastAsia="Arial" w:hAnsi="Arial"/>
                <w:b/>
                <w:bCs/>
                <w:color w:val="FFFFFF"/>
                <w:sz w:val="19"/>
                <w:szCs w:val="19"/>
              </w:rPr>
              <w:t xml:space="preserve">Tools Dependent</w:t>
            </w:r>
          </w:p>
        </w:tc>
        <w:tc>
          <w:tcPr>
            <w:tcW w:type="dxa" w:w="2000"/>
            <w:tcBorders>
              <w:top w:val="single" w:color="0D1F0D" w:sz="1"/>
              <w:left w:val="single" w:color="0D1F0D" w:sz="1"/>
              <w:bottom w:val="single" w:color="0D1F0D" w:sz="1"/>
              <w:right w:val="single" w:color="0D1F0D" w:sz="1"/>
            </w:tcBorders>
            <w:shd w:fill="0D1F0D" w:val="clear"/>
            <w:tcMar>
              <w:top w:type="dxa" w:w="90"/>
              <w:left w:type="dxa" w:w="120"/>
              <w:bottom w:type="dxa" w:w="90"/>
              <w:right w:type="dxa" w:w="120"/>
            </w:tcMar>
          </w:tcPr>
          <w:p>
            <w:r>
              <w:rPr>
                <w:rFonts w:ascii="Arial" w:cs="Arial" w:eastAsia="Arial" w:hAnsi="Arial"/>
                <w:b/>
                <w:bCs/>
                <w:color w:val="FFFFFF"/>
                <w:sz w:val="19"/>
                <w:szCs w:val="19"/>
              </w:rPr>
              <w:t xml:space="preserve">Risk</w:t>
            </w:r>
          </w:p>
        </w:tc>
        <w:tc>
          <w:tcPr>
            <w:tcW w:type="dxa" w:w="1760"/>
            <w:tcBorders>
              <w:top w:val="single" w:color="0D1F0D" w:sz="1"/>
              <w:left w:val="single" w:color="0D1F0D" w:sz="1"/>
              <w:bottom w:val="single" w:color="0D1F0D" w:sz="1"/>
              <w:right w:val="single" w:color="0D1F0D" w:sz="1"/>
            </w:tcBorders>
            <w:shd w:fill="0D1F0D" w:val="clear"/>
            <w:tcMar>
              <w:top w:type="dxa" w:w="90"/>
              <w:left w:type="dxa" w:w="120"/>
              <w:bottom w:type="dxa" w:w="90"/>
              <w:right w:type="dxa" w:w="120"/>
            </w:tcMar>
          </w:tcPr>
          <w:p>
            <w:r>
              <w:rPr>
                <w:rFonts w:ascii="Arial" w:cs="Arial" w:eastAsia="Arial" w:hAnsi="Arial"/>
                <w:b/>
                <w:bCs/>
                <w:color w:val="FFFFFF"/>
                <w:sz w:val="19"/>
                <w:szCs w:val="19"/>
              </w:rPr>
              <w:t xml:space="preserve">Impact if Down</w:t>
            </w:r>
          </w:p>
        </w:tc>
      </w:tr>
      <w:tr>
        <w:tc>
          <w:tcPr>
            <w:tcW w:type="dxa" w:w="24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0D1F0D"/>
                <w:sz w:val="19"/>
                <w:szCs w:val="19"/>
              </w:rPr>
              <w:t xml:space="preserve">CISA KEV Feed</w:t>
            </w:r>
          </w:p>
        </w:tc>
        <w:tc>
          <w:tcPr>
            <w:tcW w:type="dxa" w:w="32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02, 06, 18, 32, 33, 37, 38</w:t>
            </w:r>
          </w:p>
        </w:tc>
        <w:tc>
          <w:tcPr>
            <w:tcW w:type="dxa" w:w="20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Low — government feed, highly reliable</w:t>
            </w:r>
          </w:p>
        </w:tc>
        <w:tc>
          <w:tcPr>
            <w:tcW w:type="dxa" w:w="176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CC5500"/>
                <w:sz w:val="18"/>
                <w:szCs w:val="18"/>
              </w:rPr>
              <w:t xml:space="preserve">KEV data stale — fallback data shown</w:t>
            </w:r>
          </w:p>
        </w:tc>
      </w:tr>
      <w:tr>
        <w:tc>
          <w:tcPr>
            <w:tcW w:type="dxa" w:w="24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0D1F0D"/>
                <w:sz w:val="19"/>
                <w:szCs w:val="19"/>
              </w:rPr>
              <w:t xml:space="preserve">Anthropic Claude API</w:t>
            </w:r>
          </w:p>
        </w:tc>
        <w:tc>
          <w:tcPr>
            <w:tcW w:type="dxa" w:w="32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10, 11, 12, 13, 14, 17, 29, 30, 35, 38</w:t>
            </w:r>
          </w:p>
        </w:tc>
        <w:tc>
          <w:tcPr>
            <w:tcW w:type="dxa" w:w="20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Medium — paid service, rate limits apply</w:t>
            </w:r>
          </w:p>
        </w:tc>
        <w:tc>
          <w:tcPr>
            <w:tcW w:type="dxa" w:w="176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CC5500"/>
                <w:sz w:val="18"/>
                <w:szCs w:val="18"/>
              </w:rPr>
              <w:t xml:space="preserve">AI features unavailable — tool still functional</w:t>
            </w:r>
          </w:p>
        </w:tc>
      </w:tr>
      <w:tr>
        <w:tc>
          <w:tcPr>
            <w:tcW w:type="dxa" w:w="24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0D1F0D"/>
                <w:sz w:val="19"/>
                <w:szCs w:val="19"/>
              </w:rPr>
              <w:t xml:space="preserve">Shodan InternetDB</w:t>
            </w:r>
          </w:p>
        </w:tc>
        <w:tc>
          <w:tcPr>
            <w:tcW w:type="dxa" w:w="32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01, 21, 32</w:t>
            </w:r>
          </w:p>
        </w:tc>
        <w:tc>
          <w:tcPr>
            <w:tcW w:type="dxa" w:w="20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Medium — free tier, rate limited</w:t>
            </w:r>
          </w:p>
        </w:tc>
        <w:tc>
          <w:tcPr>
            <w:tcW w:type="dxa" w:w="176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CC5500"/>
                <w:sz w:val="18"/>
                <w:szCs w:val="18"/>
              </w:rPr>
              <w:t xml:space="preserve">IP/CVE lookup fails — no asset exposure data</w:t>
            </w:r>
          </w:p>
        </w:tc>
      </w:tr>
      <w:tr>
        <w:tc>
          <w:tcPr>
            <w:tcW w:type="dxa" w:w="24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0D1F0D"/>
                <w:sz w:val="19"/>
                <w:szCs w:val="19"/>
              </w:rPr>
              <w:t xml:space="preserve">NVD API (NIST)</w:t>
            </w:r>
          </w:p>
        </w:tc>
        <w:tc>
          <w:tcPr>
            <w:tcW w:type="dxa" w:w="32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37</w:t>
            </w:r>
          </w:p>
        </w:tc>
        <w:tc>
          <w:tcPr>
            <w:tcW w:type="dxa" w:w="20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High — CORS blocks browser access</w:t>
            </w:r>
          </w:p>
        </w:tc>
        <w:tc>
          <w:tcPr>
            <w:tcW w:type="dxa" w:w="176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CC5500"/>
                <w:sz w:val="18"/>
                <w:szCs w:val="18"/>
              </w:rPr>
              <w:t xml:space="preserve">NVD feed falls back to curated static data</w:t>
            </w:r>
          </w:p>
        </w:tc>
      </w:tr>
      <w:tr>
        <w:tc>
          <w:tcPr>
            <w:tcW w:type="dxa" w:w="24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0D1F0D"/>
                <w:sz w:val="19"/>
                <w:szCs w:val="19"/>
              </w:rPr>
              <w:t xml:space="preserve">RSS Proxy Services</w:t>
            </w:r>
          </w:p>
        </w:tc>
        <w:tc>
          <w:tcPr>
            <w:tcW w:type="dxa" w:w="32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37 (news feeds)</w:t>
            </w:r>
          </w:p>
        </w:tc>
        <w:tc>
          <w:tcPr>
            <w:tcW w:type="dxa" w:w="20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High — free third-party proxies</w:t>
            </w:r>
          </w:p>
        </w:tc>
        <w:tc>
          <w:tcPr>
            <w:tcW w:type="dxa" w:w="176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CC5500"/>
                <w:sz w:val="18"/>
                <w:szCs w:val="18"/>
              </w:rPr>
              <w:t xml:space="preserve">News feeds use curated fallback data</w:t>
            </w:r>
          </w:p>
        </w:tc>
      </w:tr>
      <w:tr>
        <w:tc>
          <w:tcPr>
            <w:tcW w:type="dxa" w:w="24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0D1F0D"/>
                <w:sz w:val="19"/>
                <w:szCs w:val="19"/>
              </w:rPr>
              <w:t xml:space="preserve">OpenSky Network</w:t>
            </w:r>
          </w:p>
        </w:tc>
        <w:tc>
          <w:tcPr>
            <w:tcW w:type="dxa" w:w="32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27</w:t>
            </w:r>
          </w:p>
        </w:tc>
        <w:tc>
          <w:tcPr>
            <w:tcW w:type="dxa" w:w="20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Medium — anonymous tier, limited</w:t>
            </w:r>
          </w:p>
        </w:tc>
        <w:tc>
          <w:tcPr>
            <w:tcW w:type="dxa" w:w="176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CC5500"/>
                <w:sz w:val="18"/>
                <w:szCs w:val="18"/>
              </w:rPr>
              <w:t xml:space="preserve">Aircraft tracker shows no live data</w:t>
            </w:r>
          </w:p>
        </w:tc>
      </w:tr>
      <w:tr>
        <w:tc>
          <w:tcPr>
            <w:tcW w:type="dxa" w:w="24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0D1F0D"/>
                <w:sz w:val="19"/>
                <w:szCs w:val="19"/>
              </w:rPr>
              <w:t xml:space="preserve">HaveIBeenPwned</w:t>
            </w:r>
          </w:p>
        </w:tc>
        <w:tc>
          <w:tcPr>
            <w:tcW w:type="dxa" w:w="32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09</w:t>
            </w:r>
          </w:p>
        </w:tc>
        <w:tc>
          <w:tcPr>
            <w:tcW w:type="dxa" w:w="20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Low — reliable public API</w:t>
            </w:r>
          </w:p>
        </w:tc>
        <w:tc>
          <w:tcPr>
            <w:tcW w:type="dxa" w:w="176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CC5500"/>
                <w:sz w:val="18"/>
                <w:szCs w:val="18"/>
              </w:rPr>
              <w:t xml:space="preserve">Credential check unavailable</w:t>
            </w:r>
          </w:p>
        </w:tc>
      </w:tr>
      <w:tr>
        <w:tc>
          <w:tcPr>
            <w:tcW w:type="dxa" w:w="24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0D1F0D"/>
                <w:sz w:val="19"/>
                <w:szCs w:val="19"/>
              </w:rPr>
              <w:t xml:space="preserve">CartoDB Tiles</w:t>
            </w:r>
          </w:p>
        </w:tc>
        <w:tc>
          <w:tcPr>
            <w:tcW w:type="dxa" w:w="32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36</w:t>
            </w:r>
          </w:p>
        </w:tc>
        <w:tc>
          <w:tcPr>
            <w:tcW w:type="dxa" w:w="20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Low — reliable CDN</w:t>
            </w:r>
          </w:p>
        </w:tc>
        <w:tc>
          <w:tcPr>
            <w:tcW w:type="dxa" w:w="176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CC5500"/>
                <w:sz w:val="18"/>
                <w:szCs w:val="18"/>
              </w:rPr>
              <w:t xml:space="preserve">Battlefield map shows no basemap tiles</w:t>
            </w:r>
          </w:p>
        </w:tc>
      </w:tr>
      <w:tr>
        <w:tc>
          <w:tcPr>
            <w:tcW w:type="dxa" w:w="24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0D1F0D"/>
                <w:sz w:val="19"/>
                <w:szCs w:val="19"/>
              </w:rPr>
              <w:t xml:space="preserve">URLScan/PhishTank/VirusTotal</w:t>
            </w:r>
          </w:p>
        </w:tc>
        <w:tc>
          <w:tcPr>
            <w:tcW w:type="dxa" w:w="32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34</w:t>
            </w:r>
          </w:p>
        </w:tc>
        <w:tc>
          <w:tcPr>
            <w:tcW w:type="dxa" w:w="20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Medium — rate limits on free tier</w:t>
            </w:r>
          </w:p>
        </w:tc>
        <w:tc>
          <w:tcPr>
            <w:tcW w:type="dxa" w:w="176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CC5500"/>
                <w:sz w:val="18"/>
                <w:szCs w:val="18"/>
              </w:rPr>
              <w:t xml:space="preserve">Link analysis relies on heuristics only</w:t>
            </w:r>
          </w:p>
        </w:tc>
      </w:tr>
      <w:tr>
        <w:tc>
          <w:tcPr>
            <w:tcW w:type="dxa" w:w="24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0D1F0D"/>
                <w:sz w:val="19"/>
                <w:szCs w:val="19"/>
              </w:rPr>
              <w:t xml:space="preserve">allorigins.win / corsproxy.io</w:t>
            </w:r>
          </w:p>
        </w:tc>
        <w:tc>
          <w:tcPr>
            <w:tcW w:type="dxa" w:w="32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37, news feeds</w:t>
            </w:r>
          </w:p>
        </w:tc>
        <w:tc>
          <w:tcPr>
            <w:tcW w:type="dxa" w:w="20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High — free proxy, unreliable</w:t>
            </w:r>
          </w:p>
        </w:tc>
        <w:tc>
          <w:tcPr>
            <w:tcW w:type="dxa" w:w="176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CC5500"/>
                <w:sz w:val="18"/>
                <w:szCs w:val="18"/>
              </w:rPr>
              <w:t xml:space="preserve">Falls back to static curated data</w:t>
            </w:r>
          </w:p>
        </w:tc>
      </w:tr>
    </w:tbl>
    <w:p>
      <w:pPr>
        <w:spacing w:after="0" w:before="30"/>
      </w:pPr>
      <w:r>
        <w:t xml:space="preserve"/>
      </w:r>
    </w:p>
    <w:p>
      <w:pPr>
        <w:pStyle w:val="Heading2"/>
        <w:spacing w:after="80" w:before="240"/>
      </w:pPr>
      <w:r>
        <w:rPr>
          <w:rFonts w:ascii="Arial" w:cs="Arial" w:eastAsia="Arial" w:hAnsi="Arial"/>
          <w:b/>
          <w:bCs/>
          <w:color w:val="0D1F0D"/>
          <w:sz w:val="26"/>
          <w:szCs w:val="26"/>
        </w:rPr>
        <w:t xml:space="preserve">2.3  Data Currency and Accuracy</w:t>
      </w:r>
    </w:p>
    <w:p>
      <w:pPr>
        <w:spacing w:after="80" w:before="60"/>
      </w:pPr>
      <w:r>
        <w:rPr>
          <w:rFonts w:ascii="Arial" w:cs="Arial" w:eastAsia="Arial" w:hAnsi="Arial"/>
          <w:color w:val="1A2A1A"/>
          <w:sz w:val="22"/>
          <w:szCs w:val="22"/>
        </w:rPr>
        <w:t xml:space="preserve">Intelligence data in Ghost 2210 comes from public sources. Several important constraints apply:</w:t>
      </w:r>
    </w:p>
    <w:p>
      <w:pPr>
        <w:spacing w:after="0" w:before="10"/>
      </w:pPr>
      <w:r>
        <w:t xml:space="preserve"/>
      </w:r>
    </w:p>
    <w:p>
      <w:pPr>
        <w:pStyle w:val="ListParagraph"/>
        <w:numPr>
          <w:ilvl w:val="0"/>
          <w:numId w:val="2"/>
        </w:numPr>
        <w:spacing w:after="60" w:before="40"/>
      </w:pPr>
      <w:r>
        <w:rPr>
          <w:rFonts w:ascii="Arial" w:cs="Arial" w:eastAsia="Arial" w:hAnsi="Arial"/>
          <w:color w:val="1A2A1A"/>
          <w:sz w:val="22"/>
          <w:szCs w:val="22"/>
        </w:rPr>
        <w:t xml:space="default"/>
      </w:r>
    </w:p>
    <w:p>
      <w:pPr>
        <w:pStyle w:val="ListParagraph"/>
        <w:numPr>
          <w:ilvl w:val="0"/>
          <w:numId w:val="2"/>
        </w:numPr>
        <w:spacing w:after="60" w:before="40"/>
      </w:pPr>
      <w:r>
        <w:rPr>
          <w:rFonts w:ascii="Arial" w:cs="Arial" w:eastAsia="Arial" w:hAnsi="Arial"/>
          <w:color w:val="1A2A1A"/>
          <w:sz w:val="22"/>
          <w:szCs w:val="22"/>
        </w:rPr>
        <w:t xml:space="default"/>
      </w:r>
    </w:p>
    <w:p>
      <w:pPr>
        <w:pStyle w:val="ListParagraph"/>
        <w:numPr>
          <w:ilvl w:val="0"/>
          <w:numId w:val="2"/>
        </w:numPr>
        <w:spacing w:after="60" w:before="40"/>
      </w:pPr>
      <w:r>
        <w:rPr>
          <w:rFonts w:ascii="Arial" w:cs="Arial" w:eastAsia="Arial" w:hAnsi="Arial"/>
          <w:color w:val="1A2A1A"/>
          <w:sz w:val="22"/>
          <w:szCs w:val="22"/>
        </w:rPr>
        <w:t xml:space="default"/>
      </w:r>
    </w:p>
    <w:p>
      <w:pPr>
        <w:pStyle w:val="ListParagraph"/>
        <w:numPr>
          <w:ilvl w:val="0"/>
          <w:numId w:val="2"/>
        </w:numPr>
        <w:spacing w:after="60" w:before="40"/>
      </w:pPr>
      <w:r>
        <w:rPr>
          <w:rFonts w:ascii="Arial" w:cs="Arial" w:eastAsia="Arial" w:hAnsi="Arial"/>
          <w:color w:val="1A2A1A"/>
          <w:sz w:val="22"/>
          <w:szCs w:val="22"/>
        </w:rPr>
        <w:t xml:space="default"/>
      </w:r>
    </w:p>
    <w:p>
      <w:pPr>
        <w:pStyle w:val="ListParagraph"/>
        <w:numPr>
          <w:ilvl w:val="0"/>
          <w:numId w:val="2"/>
        </w:numPr>
        <w:spacing w:after="60" w:before="40"/>
      </w:pPr>
      <w:r>
        <w:rPr>
          <w:rFonts w:ascii="Arial" w:cs="Arial" w:eastAsia="Arial" w:hAnsi="Arial"/>
          <w:color w:val="1A2A1A"/>
          <w:sz w:val="22"/>
          <w:szCs w:val="22"/>
        </w:rPr>
        <w:t xml:space="default"/>
      </w:r>
    </w:p>
    <w:p>
      <w:pPr>
        <w:pStyle w:val="ListParagraph"/>
        <w:numPr>
          <w:ilvl w:val="0"/>
          <w:numId w:val="2"/>
        </w:numPr>
        <w:spacing w:after="60" w:before="40"/>
      </w:pPr>
      <w:r>
        <w:rPr>
          <w:rFonts w:ascii="Arial" w:cs="Arial" w:eastAsia="Arial" w:hAnsi="Arial"/>
          <w:color w:val="1A2A1A"/>
          <w:sz w:val="22"/>
          <w:szCs w:val="22"/>
        </w:rPr>
        <w:t xml:space="default"/>
      </w:r>
    </w:p>
    <w:p>
      <w:pPr>
        <w:spacing w:after="0" w:before="30"/>
      </w:pPr>
      <w:r>
        <w:t xml:space="preserve"/>
      </w:r>
    </w:p>
    <w:p>
      <w:pPr>
        <w:pStyle w:val="Heading2"/>
        <w:spacing w:after="80" w:before="240"/>
      </w:pPr>
      <w:r>
        <w:rPr>
          <w:rFonts w:ascii="Arial" w:cs="Arial" w:eastAsia="Arial" w:hAnsi="Arial"/>
          <w:b/>
          <w:bCs/>
          <w:color w:val="0D1F0D"/>
          <w:sz w:val="26"/>
          <w:szCs w:val="26"/>
        </w:rPr>
        <w:t xml:space="preserve">2.4  No Endpoint or Network Visibility</w:t>
      </w:r>
    </w:p>
    <w:p>
      <w:pPr>
        <w:spacing w:after="80" w:before="60"/>
      </w:pPr>
      <w:r>
        <w:rPr>
          <w:rFonts w:ascii="Arial" w:cs="Arial" w:eastAsia="Arial" w:hAnsi="Arial"/>
          <w:color w:val="1A2A1A"/>
          <w:sz w:val="22"/>
          <w:szCs w:val="22"/>
        </w:rPr>
        <w:t xml:space="preserve">Ghost 2210 has no ability to observe your network or endpoints. This is a fundamental architectural constraint.</w:t>
      </w:r>
    </w:p>
    <w:p>
      <w:pPr>
        <w:spacing w:after="0" w:before="1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0000" w:sz="4"/>
              <w:left w:val="single" w:color="CC0000" w:sz="16"/>
              <w:bottom w:val="single" w:color="CC0000" w:sz="4"/>
              <w:right w:val="single" w:color="CC0000" w:sz="4"/>
            </w:tcBorders>
            <w:shd w:fill="FFF0F0" w:val="clear"/>
            <w:tcMar>
              <w:top w:type="dxa" w:w="160"/>
              <w:left w:type="dxa" w:w="240"/>
              <w:bottom w:type="dxa" w:w="160"/>
              <w:right w:type="dxa" w:w="240"/>
            </w:tcMar>
          </w:tcPr>
          <w:p>
            <w:pPr>
              <w:spacing w:after="30" w:before="0"/>
            </w:pPr>
            <w:r>
              <w:rPr>
                <w:rFonts w:ascii="Arial" w:cs="Arial" w:eastAsia="Arial" w:hAnsi="Arial"/>
                <w:b/>
                <w:bCs/>
                <w:color w:val="CC0000"/>
                <w:sz w:val="22"/>
                <w:szCs w:val="22"/>
              </w:rPr>
              <w:t xml:space="preserve">What Ghost 2210 cannot see:</w:t>
            </w:r>
          </w:p>
          <w:p>
            <w:pPr>
              <w:pStyle w:val="ListParagraph"/>
              <w:numPr>
                <w:ilvl w:val="0"/>
                <w:numId w:val="2"/>
              </w:numPr>
              <w:spacing w:after="60" w:before="40"/>
            </w:pPr>
            <w:r>
              <w:rPr>
                <w:rFonts w:ascii="Arial" w:cs="Arial" w:eastAsia="Arial" w:hAnsi="Arial"/>
                <w:color w:val="1A2A1A"/>
                <w:sz w:val="22"/>
                <w:szCs w:val="22"/>
              </w:rPr>
              <w:t xml:space="preserve">Live network traffic — no packet capture capability on your network</w:t>
            </w:r>
          </w:p>
          <w:p>
            <w:pPr>
              <w:pStyle w:val="ListParagraph"/>
              <w:numPr>
                <w:ilvl w:val="0"/>
                <w:numId w:val="2"/>
              </w:numPr>
              <w:spacing w:after="60" w:before="40"/>
            </w:pPr>
            <w:r>
              <w:rPr>
                <w:rFonts w:ascii="Arial" w:cs="Arial" w:eastAsia="Arial" w:hAnsi="Arial"/>
                <w:color w:val="1A2A1A"/>
                <w:sz w:val="22"/>
                <w:szCs w:val="22"/>
              </w:rPr>
              <w:t xml:space="preserve">Endpoint process activity — no EDR or host-based detection</w:t>
            </w:r>
          </w:p>
          <w:p>
            <w:pPr>
              <w:pStyle w:val="ListParagraph"/>
              <w:numPr>
                <w:ilvl w:val="0"/>
                <w:numId w:val="2"/>
              </w:numPr>
              <w:spacing w:after="60" w:before="40"/>
            </w:pPr>
            <w:r>
              <w:rPr>
                <w:rFonts w:ascii="Arial" w:cs="Arial" w:eastAsia="Arial" w:hAnsi="Arial"/>
                <w:color w:val="1A2A1A"/>
                <w:sz w:val="22"/>
                <w:szCs w:val="22"/>
              </w:rPr>
              <w:t xml:space="preserve">Authentication events — no SIEM integration for live log ingestion</w:t>
            </w:r>
          </w:p>
          <w:p>
            <w:pPr>
              <w:pStyle w:val="ListParagraph"/>
              <w:numPr>
                <w:ilvl w:val="0"/>
                <w:numId w:val="2"/>
              </w:numPr>
              <w:spacing w:after="60" w:before="40"/>
            </w:pPr>
            <w:r>
              <w:rPr>
                <w:rFonts w:ascii="Arial" w:cs="Arial" w:eastAsia="Arial" w:hAnsi="Arial"/>
                <w:color w:val="1A2A1A"/>
                <w:sz w:val="22"/>
                <w:szCs w:val="22"/>
              </w:rPr>
              <w:t xml:space="preserve">File system activity — no malware detection on endpoints</w:t>
            </w:r>
          </w:p>
          <w:p>
            <w:pPr>
              <w:pStyle w:val="ListParagraph"/>
              <w:numPr>
                <w:ilvl w:val="0"/>
                <w:numId w:val="2"/>
              </w:numPr>
              <w:spacing w:after="60" w:before="40"/>
            </w:pPr>
            <w:r>
              <w:rPr>
                <w:rFonts w:ascii="Arial" w:cs="Arial" w:eastAsia="Arial" w:hAnsi="Arial"/>
                <w:color w:val="1A2A1A"/>
                <w:sz w:val="22"/>
                <w:szCs w:val="22"/>
              </w:rPr>
              <w:t xml:space="preserve">Email in transit — phishing validator requires manual paste of headers</w:t>
            </w:r>
          </w:p>
          <w:p>
            <w:pPr>
              <w:pStyle w:val="ListParagraph"/>
              <w:numPr>
                <w:ilvl w:val="0"/>
                <w:numId w:val="2"/>
              </w:numPr>
              <w:spacing w:after="60" w:before="40"/>
            </w:pPr>
            <w:r>
              <w:rPr>
                <w:rFonts w:ascii="Arial" w:cs="Arial" w:eastAsia="Arial" w:hAnsi="Arial"/>
                <w:color w:val="1A2A1A"/>
                <w:sz w:val="22"/>
                <w:szCs w:val="22"/>
              </w:rPr>
              <w:t xml:space="preserve">Active directory or identity events — no UEBA capability</w:t>
            </w:r>
          </w:p>
          <w:p>
            <w:pPr>
              <w:spacing w:after="0" w:before="10"/>
            </w:pPr>
            <w:r>
              <w:t xml:space="preserve"/>
            </w:r>
          </w:p>
          <w:p>
            <w:pPr>
              <w:spacing w:after="80" w:before="60"/>
            </w:pPr>
            <w:r>
              <w:rPr>
                <w:rFonts w:ascii="Arial" w:cs="Arial" w:eastAsia="Arial" w:hAnsi="Arial"/>
                <w:color w:val="1A2A1A"/>
                <w:sz w:val="22"/>
                <w:szCs w:val="22"/>
              </w:rPr>
              <w:t xml:space="preserve">The Real-Time IDS (Tool 31) and Log Analyzer (Tool 24) analyze logs that are manually pasted or uploaded. They do not connect to your SIEM, syslog server, or log aggregator in real time.</w:t>
            </w:r>
          </w:p>
        </w:tc>
      </w:tr>
    </w:tbl>
    <w:p>
      <w:r>
        <w:br w:type="page"/>
      </w:r>
    </w:p>
    <w:p>
      <w:pPr>
        <w:pStyle w:val="Heading1"/>
        <w:pBdr>
          <w:bottom w:val="single" w:color="00AA20" w:sz="8" w:space="6"/>
        </w:pBdr>
        <w:spacing w:after="120" w:before="320"/>
      </w:pPr>
      <w:r>
        <w:rPr>
          <w:rFonts w:ascii="Arial" w:cs="Arial" w:eastAsia="Arial" w:hAnsi="Arial"/>
          <w:b/>
          <w:bCs/>
          <w:color w:val="0D1F0D"/>
          <w:sz w:val="32"/>
          <w:szCs w:val="32"/>
        </w:rPr>
        <w:t xml:space="preserve">3. Security Limitations</w:t>
      </w:r>
    </w:p>
    <w:p>
      <w:pPr>
        <w:spacing w:after="0" w:before="20"/>
      </w:pPr>
      <w:r>
        <w:t xml:space="preserve"/>
      </w:r>
    </w:p>
    <w:p>
      <w:pPr>
        <w:pStyle w:val="Heading2"/>
        <w:spacing w:after="80" w:before="240"/>
      </w:pPr>
      <w:r>
        <w:rPr>
          <w:rFonts w:ascii="Arial" w:cs="Arial" w:eastAsia="Arial" w:hAnsi="Arial"/>
          <w:b/>
          <w:bCs/>
          <w:color w:val="0D1F0D"/>
          <w:sz w:val="26"/>
          <w:szCs w:val="26"/>
        </w:rPr>
        <w:t xml:space="preserve">3.1  No Security Audit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0000" w:sz="4"/>
              <w:left w:val="single" w:color="CC0000" w:sz="16"/>
              <w:bottom w:val="single" w:color="CC0000" w:sz="4"/>
              <w:right w:val="single" w:color="CC0000" w:sz="4"/>
            </w:tcBorders>
            <w:shd w:fill="FFF0F0" w:val="clear"/>
            <w:tcMar>
              <w:top w:type="dxa" w:w="160"/>
              <w:left w:type="dxa" w:w="240"/>
              <w:bottom w:type="dxa" w:w="160"/>
              <w:right w:type="dxa" w:w="240"/>
            </w:tcMar>
          </w:tcPr>
          <w:p>
            <w:pPr>
              <w:spacing w:after="30" w:before="0"/>
            </w:pPr>
            <w:r>
              <w:rPr>
                <w:rFonts w:ascii="Arial" w:cs="Arial" w:eastAsia="Arial" w:hAnsi="Arial"/>
                <w:b/>
                <w:bCs/>
                <w:color w:val="CC0000"/>
                <w:sz w:val="22"/>
                <w:szCs w:val="22"/>
              </w:rPr>
              <w:t xml:space="preserve">Ghost 2210 has not been independently security audited.</w:t>
            </w:r>
          </w:p>
          <w:p>
            <w:pPr>
              <w:pStyle w:val="ListParagraph"/>
              <w:numPr>
                <w:ilvl w:val="0"/>
                <w:numId w:val="2"/>
              </w:numPr>
              <w:spacing w:after="60" w:before="40"/>
            </w:pPr>
            <w:r>
              <w:rPr>
                <w:rFonts w:ascii="Arial" w:cs="Arial" w:eastAsia="Arial" w:hAnsi="Arial"/>
                <w:color w:val="1A2A1A"/>
                <w:sz w:val="22"/>
                <w:szCs w:val="22"/>
              </w:rPr>
              <w:t xml:space="preserve">No penetration test has been conducted against the toolkit</w:t>
            </w:r>
          </w:p>
          <w:p>
            <w:pPr>
              <w:pStyle w:val="ListParagraph"/>
              <w:numPr>
                <w:ilvl w:val="0"/>
                <w:numId w:val="2"/>
              </w:numPr>
              <w:spacing w:after="60" w:before="40"/>
            </w:pPr>
            <w:r>
              <w:rPr>
                <w:rFonts w:ascii="Arial" w:cs="Arial" w:eastAsia="Arial" w:hAnsi="Arial"/>
                <w:color w:val="1A2A1A"/>
                <w:sz w:val="22"/>
                <w:szCs w:val="22"/>
              </w:rPr>
              <w:t xml:space="preserve">No code review by independent security researchers</w:t>
            </w:r>
          </w:p>
          <w:p>
            <w:pPr>
              <w:pStyle w:val="ListParagraph"/>
              <w:numPr>
                <w:ilvl w:val="0"/>
                <w:numId w:val="2"/>
              </w:numPr>
              <w:spacing w:after="60" w:before="40"/>
            </w:pPr>
            <w:r>
              <w:rPr>
                <w:rFonts w:ascii="Arial" w:cs="Arial" w:eastAsia="Arial" w:hAnsi="Arial"/>
                <w:color w:val="1A2A1A"/>
                <w:sz w:val="22"/>
                <w:szCs w:val="22"/>
              </w:rPr>
              <w:t xml:space="preserve">No formal threat modeling of the toolkit itself</w:t>
            </w:r>
          </w:p>
          <w:p>
            <w:pPr>
              <w:pStyle w:val="ListParagraph"/>
              <w:numPr>
                <w:ilvl w:val="0"/>
                <w:numId w:val="2"/>
              </w:numPr>
              <w:spacing w:after="60" w:before="40"/>
            </w:pPr>
            <w:r>
              <w:rPr>
                <w:rFonts w:ascii="Arial" w:cs="Arial" w:eastAsia="Arial" w:hAnsi="Arial"/>
                <w:color w:val="1A2A1A"/>
                <w:sz w:val="22"/>
                <w:szCs w:val="22"/>
              </w:rPr>
              <w:t xml:space="preserve">No vulnerability assessment of the browser extension</w:t>
            </w:r>
          </w:p>
          <w:p>
            <w:pPr>
              <w:spacing w:after="0" w:before="10"/>
            </w:pPr>
            <w:r>
              <w:t xml:space="preserve"/>
            </w:r>
          </w:p>
          <w:p>
            <w:pPr>
              <w:spacing w:after="80" w:before="60"/>
            </w:pPr>
            <w:r>
              <w:rPr>
                <w:rFonts w:ascii="Arial" w:cs="Arial" w:eastAsia="Arial" w:hAnsi="Arial"/>
                <w:color w:val="1A2A1A"/>
                <w:sz w:val="22"/>
                <w:szCs w:val="22"/>
              </w:rPr>
              <w:t xml:space="preserve">Organizations deploying Ghost 2210 in sensitive environments should conduct their own assessment before use.</w:t>
            </w:r>
          </w:p>
        </w:tc>
      </w:tr>
    </w:tbl>
    <w:p>
      <w:pPr>
        <w:spacing w:after="0" w:before="30"/>
      </w:pPr>
      <w:r>
        <w:t xml:space="preserve"/>
      </w:r>
    </w:p>
    <w:p>
      <w:pPr>
        <w:pStyle w:val="Heading2"/>
        <w:spacing w:after="80" w:before="240"/>
      </w:pPr>
      <w:r>
        <w:rPr>
          <w:rFonts w:ascii="Arial" w:cs="Arial" w:eastAsia="Arial" w:hAnsi="Arial"/>
          <w:b/>
          <w:bCs/>
          <w:color w:val="0D1F0D"/>
          <w:sz w:val="26"/>
          <w:szCs w:val="26"/>
        </w:rPr>
        <w:t xml:space="preserve">3.2  API Key Handling</w:t>
      </w:r>
    </w:p>
    <w:p>
      <w:pPr>
        <w:spacing w:after="80" w:before="60"/>
      </w:pPr>
      <w:r>
        <w:rPr>
          <w:rFonts w:ascii="Arial" w:cs="Arial" w:eastAsia="Arial" w:hAnsi="Arial"/>
          <w:color w:val="1A2A1A"/>
          <w:sz w:val="22"/>
          <w:szCs w:val="22"/>
        </w:rPr>
        <w:t xml:space="preserve">Several tools require an Anthropic API key entered in the browser. Important security considerations:</w:t>
      </w:r>
    </w:p>
    <w:p>
      <w:pPr>
        <w:spacing w:after="0" w:before="10"/>
      </w:pPr>
      <w:r>
        <w:t xml:space="preserve"/>
      </w:r>
    </w:p>
    <w:p>
      <w:pPr>
        <w:pStyle w:val="ListParagraph"/>
        <w:numPr>
          <w:ilvl w:val="0"/>
          <w:numId w:val="2"/>
        </w:numPr>
        <w:spacing w:after="60" w:before="40"/>
      </w:pPr>
      <w:r>
        <w:rPr>
          <w:rFonts w:ascii="Arial" w:cs="Arial" w:eastAsia="Arial" w:hAnsi="Arial"/>
          <w:color w:val="1A2A1A"/>
          <w:sz w:val="22"/>
          <w:szCs w:val="22"/>
        </w:rPr>
        <w:t xml:space="preserve">API keys are entered in plain text password fields — they are visible to browser extensions and any JavaScript running on the page</w:t>
      </w:r>
    </w:p>
    <w:p>
      <w:pPr>
        <w:pStyle w:val="ListParagraph"/>
        <w:numPr>
          <w:ilvl w:val="0"/>
          <w:numId w:val="2"/>
        </w:numPr>
        <w:spacing w:after="60" w:before="40"/>
      </w:pPr>
      <w:r>
        <w:rPr>
          <w:rFonts w:ascii="Arial" w:cs="Arial" w:eastAsia="Arial" w:hAnsi="Arial"/>
          <w:color w:val="1A2A1A"/>
          <w:sz w:val="22"/>
          <w:szCs w:val="22"/>
        </w:rPr>
        <w:t xml:space="preserve">Keys are not stored persistently — they must be re-entered each session, which reduces but does not eliminate risk</w:t>
      </w:r>
    </w:p>
    <w:p>
      <w:pPr>
        <w:pStyle w:val="ListParagraph"/>
        <w:numPr>
          <w:ilvl w:val="0"/>
          <w:numId w:val="2"/>
        </w:numPr>
        <w:spacing w:after="60" w:before="40"/>
      </w:pPr>
      <w:r>
        <w:rPr>
          <w:rFonts w:ascii="Arial" w:cs="Arial" w:eastAsia="Arial" w:hAnsi="Arial"/>
          <w:color w:val="1A2A1A"/>
          <w:sz w:val="22"/>
          <w:szCs w:val="22"/>
        </w:rPr>
        <w:t xml:space="preserve">If the toolkit is deployed on a shared or compromised host, API keys could be intercepted</w:t>
      </w:r>
    </w:p>
    <w:p>
      <w:pPr>
        <w:pStyle w:val="ListParagraph"/>
        <w:numPr>
          <w:ilvl w:val="0"/>
          <w:numId w:val="2"/>
        </w:numPr>
        <w:spacing w:after="60" w:before="40"/>
      </w:pPr>
      <w:r>
        <w:rPr>
          <w:rFonts w:ascii="Arial" w:cs="Arial" w:eastAsia="Arial" w:hAnsi="Arial"/>
          <w:color w:val="1A2A1A"/>
          <w:sz w:val="22"/>
          <w:szCs w:val="22"/>
        </w:rPr>
        <w:t xml:space="preserve">Organizations with strict API key management policies should evaluate whether browser-based key entry is acceptable</w:t>
      </w:r>
    </w:p>
    <w:p>
      <w:pPr>
        <w:spacing w:after="0" w:before="1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6620" w:sz="4"/>
              <w:left w:val="single" w:color="006620" w:sz="16"/>
              <w:bottom w:val="single" w:color="006620" w:sz="4"/>
              <w:right w:val="single" w:color="006620" w:sz="4"/>
            </w:tcBorders>
            <w:shd w:fill="F0F8F0" w:val="clear"/>
            <w:tcMar>
              <w:top w:type="dxa" w:w="160"/>
              <w:left w:type="dxa" w:w="240"/>
              <w:bottom w:type="dxa" w:w="160"/>
              <w:right w:type="dxa" w:w="240"/>
            </w:tcMar>
          </w:tcPr>
          <w:p>
            <w:pPr>
              <w:spacing w:after="20" w:before="0"/>
            </w:pPr>
            <w:r>
              <w:rPr>
                <w:rFonts w:ascii="Arial" w:cs="Arial" w:eastAsia="Arial" w:hAnsi="Arial"/>
                <w:b/>
                <w:bCs/>
                <w:color w:val="0D1F0D"/>
                <w:sz w:val="22"/>
                <w:szCs w:val="22"/>
              </w:rPr>
              <w:t xml:space="preserve">Mitigation:</w:t>
            </w:r>
          </w:p>
          <w:p>
            <w:pPr>
              <w:pStyle w:val="ListParagraph"/>
              <w:numPr>
                <w:ilvl w:val="0"/>
                <w:numId w:val="2"/>
              </w:numPr>
              <w:spacing w:after="60" w:before="40"/>
            </w:pPr>
            <w:r>
              <w:rPr>
                <w:rFonts w:ascii="Arial" w:cs="Arial" w:eastAsia="Arial" w:hAnsi="Arial"/>
                <w:color w:val="1A2A1A"/>
                <w:sz w:val="22"/>
                <w:szCs w:val="22"/>
              </w:rPr>
              <w:t xml:space="preserve">Use API keys with spending limits set at console.anthropic.com/settings/limits</w:t>
            </w:r>
          </w:p>
          <w:p>
            <w:pPr>
              <w:pStyle w:val="ListParagraph"/>
              <w:numPr>
                <w:ilvl w:val="0"/>
                <w:numId w:val="2"/>
              </w:numPr>
              <w:spacing w:after="60" w:before="40"/>
            </w:pPr>
            <w:r>
              <w:rPr>
                <w:rFonts w:ascii="Arial" w:cs="Arial" w:eastAsia="Arial" w:hAnsi="Arial"/>
                <w:color w:val="1A2A1A"/>
                <w:sz w:val="22"/>
                <w:szCs w:val="22"/>
              </w:rPr>
              <w:t xml:space="preserve">Create dedicated API keys for Ghost 2210 use — rotate them regularly</w:t>
            </w:r>
          </w:p>
          <w:p>
            <w:pPr>
              <w:pStyle w:val="ListParagraph"/>
              <w:numPr>
                <w:ilvl w:val="0"/>
                <w:numId w:val="2"/>
              </w:numPr>
              <w:spacing w:after="60" w:before="40"/>
            </w:pPr>
            <w:r>
              <w:rPr>
                <w:rFonts w:ascii="Arial" w:cs="Arial" w:eastAsia="Arial" w:hAnsi="Arial"/>
                <w:color w:val="1A2A1A"/>
                <w:sz w:val="22"/>
                <w:szCs w:val="22"/>
              </w:rPr>
              <w:t xml:space="preserve">Do not use production or administrative API keys with this toolkit</w:t>
            </w:r>
          </w:p>
          <w:p>
            <w:pPr>
              <w:pStyle w:val="ListParagraph"/>
              <w:numPr>
                <w:ilvl w:val="0"/>
                <w:numId w:val="2"/>
              </w:numPr>
              <w:spacing w:after="60" w:before="40"/>
            </w:pPr>
            <w:r>
              <w:rPr>
                <w:rFonts w:ascii="Arial" w:cs="Arial" w:eastAsia="Arial" w:hAnsi="Arial"/>
                <w:color w:val="1A2A1A"/>
                <w:sz w:val="22"/>
                <w:szCs w:val="22"/>
              </w:rPr>
              <w:t xml:space="preserve">Deploy only on trusted, managed devices</w:t>
            </w:r>
          </w:p>
        </w:tc>
      </w:tr>
    </w:tbl>
    <w:p>
      <w:pPr>
        <w:spacing w:after="0" w:before="30"/>
      </w:pPr>
      <w:r>
        <w:t xml:space="preserve"/>
      </w:r>
    </w:p>
    <w:p>
      <w:pPr>
        <w:pStyle w:val="Heading2"/>
        <w:spacing w:after="80" w:before="240"/>
      </w:pPr>
      <w:r>
        <w:rPr>
          <w:rFonts w:ascii="Arial" w:cs="Arial" w:eastAsia="Arial" w:hAnsi="Arial"/>
          <w:b/>
          <w:bCs/>
          <w:color w:val="0D1F0D"/>
          <w:sz w:val="26"/>
          <w:szCs w:val="26"/>
        </w:rPr>
        <w:t xml:space="preserve">3.3  CORS Proxy Risks</w:t>
      </w:r>
    </w:p>
    <w:p>
      <w:pPr>
        <w:spacing w:after="80" w:before="60"/>
      </w:pPr>
      <w:r>
        <w:rPr>
          <w:rFonts w:ascii="Arial" w:cs="Arial" w:eastAsia="Arial" w:hAnsi="Arial"/>
          <w:color w:val="1A2A1A"/>
          <w:sz w:val="22"/>
          <w:szCs w:val="22"/>
        </w:rPr>
        <w:t xml:space="preserve">News and CVE feeds that cannot be fetched directly are routed through third-party CORS proxy services (allorigins.win, corsproxy.io, codetabs.com). These introduce risks:</w:t>
      </w:r>
    </w:p>
    <w:p>
      <w:pPr>
        <w:spacing w:after="0" w:before="10"/>
      </w:pPr>
      <w:r>
        <w:t xml:space="preserve"/>
      </w:r>
    </w:p>
    <w:p>
      <w:pPr>
        <w:pStyle w:val="ListParagraph"/>
        <w:numPr>
          <w:ilvl w:val="0"/>
          <w:numId w:val="2"/>
        </w:numPr>
        <w:spacing w:after="60" w:before="40"/>
      </w:pPr>
      <w:r>
        <w:rPr>
          <w:rFonts w:ascii="Arial" w:cs="Arial" w:eastAsia="Arial" w:hAnsi="Arial"/>
          <w:color w:val="1A2A1A"/>
          <w:sz w:val="22"/>
          <w:szCs w:val="22"/>
        </w:rPr>
        <w:t xml:space="preserve">URLs fetched through proxies are visible to the proxy operator — do not send sensitive or internal URLs through these proxies</w:t>
      </w:r>
    </w:p>
    <w:p>
      <w:pPr>
        <w:pStyle w:val="ListParagraph"/>
        <w:numPr>
          <w:ilvl w:val="0"/>
          <w:numId w:val="2"/>
        </w:numPr>
        <w:spacing w:after="60" w:before="40"/>
      </w:pPr>
      <w:r>
        <w:rPr>
          <w:rFonts w:ascii="Arial" w:cs="Arial" w:eastAsia="Arial" w:hAnsi="Arial"/>
          <w:color w:val="1A2A1A"/>
          <w:sz w:val="22"/>
          <w:szCs w:val="22"/>
        </w:rPr>
        <w:t xml:space="preserve">Proxy services can be shut down, rate-limited, or compromised without notice</w:t>
      </w:r>
    </w:p>
    <w:p>
      <w:pPr>
        <w:pStyle w:val="ListParagraph"/>
        <w:numPr>
          <w:ilvl w:val="0"/>
          <w:numId w:val="2"/>
        </w:numPr>
        <w:spacing w:after="60" w:before="40"/>
      </w:pPr>
      <w:r>
        <w:rPr>
          <w:rFonts w:ascii="Arial" w:cs="Arial" w:eastAsia="Arial" w:hAnsi="Arial"/>
          <w:color w:val="1A2A1A"/>
          <w:sz w:val="22"/>
          <w:szCs w:val="22"/>
        </w:rPr>
        <w:t xml:space="preserve">Content returned by proxies cannot be fully verified for integrity</w:t>
      </w:r>
    </w:p>
    <w:p>
      <w:pPr>
        <w:pStyle w:val="ListParagraph"/>
        <w:numPr>
          <w:ilvl w:val="0"/>
          <w:numId w:val="2"/>
        </w:numPr>
        <w:spacing w:after="60" w:before="40"/>
      </w:pPr>
      <w:r>
        <w:rPr>
          <w:rFonts w:ascii="Arial" w:cs="Arial" w:eastAsia="Arial" w:hAnsi="Arial"/>
          <w:color w:val="1A2A1A"/>
          <w:sz w:val="22"/>
          <w:szCs w:val="22"/>
        </w:rPr>
        <w:t xml:space="preserve">This risk applies only to external public feed URLs — no user data or credentials are sent through proxies</w:t>
      </w:r>
    </w:p>
    <w:p>
      <w:pPr>
        <w:spacing w:after="0" w:before="30"/>
      </w:pPr>
      <w:r>
        <w:t xml:space="preserve"/>
      </w:r>
    </w:p>
    <w:p>
      <w:pPr>
        <w:pStyle w:val="Heading2"/>
        <w:spacing w:after="80" w:before="240"/>
      </w:pPr>
      <w:r>
        <w:rPr>
          <w:rFonts w:ascii="Arial" w:cs="Arial" w:eastAsia="Arial" w:hAnsi="Arial"/>
          <w:b/>
          <w:bCs/>
          <w:color w:val="0D1F0D"/>
          <w:sz w:val="26"/>
          <w:szCs w:val="26"/>
        </w:rPr>
        <w:t xml:space="preserve">3.4  Browser Extension Security</w:t>
      </w:r>
    </w:p>
    <w:p>
      <w:pPr>
        <w:spacing w:after="80" w:before="60"/>
      </w:pPr>
      <w:r>
        <w:rPr>
          <w:rFonts w:ascii="Arial" w:cs="Arial" w:eastAsia="Arial" w:hAnsi="Arial"/>
          <w:color w:val="1A2A1A"/>
          <w:sz w:val="22"/>
          <w:szCs w:val="22"/>
        </w:rPr>
        <w:t xml:space="preserve">The Ghost 2210 browser extension is built with Manifest V3 and follows Chrome/Edge security guidelines. Specific constraints:</w:t>
      </w:r>
    </w:p>
    <w:p>
      <w:pPr>
        <w:spacing w:after="0" w:before="10"/>
      </w:pPr>
      <w:r>
        <w:t xml:space="preserve"/>
      </w:r>
    </w:p>
    <w:p>
      <w:pPr>
        <w:pStyle w:val="ListParagraph"/>
        <w:numPr>
          <w:ilvl w:val="0"/>
          <w:numId w:val="2"/>
        </w:numPr>
        <w:spacing w:after="60" w:before="40"/>
      </w:pPr>
      <w:r>
        <w:rPr>
          <w:rFonts w:ascii="Arial" w:cs="Arial" w:eastAsia="Arial" w:hAnsi="Arial"/>
          <w:color w:val="1A2A1A"/>
          <w:sz w:val="22"/>
          <w:szCs w:val="22"/>
        </w:rPr>
        <w:t xml:space="preserve">The extension has not been submitted to the Chrome Web Store or Edge Add-ons store — it must be loaded as an unpacked extension, which requires Developer Mode enabled</w:t>
      </w:r>
    </w:p>
    <w:p>
      <w:pPr>
        <w:pStyle w:val="ListParagraph"/>
        <w:numPr>
          <w:ilvl w:val="0"/>
          <w:numId w:val="2"/>
        </w:numPr>
        <w:spacing w:after="60" w:before="40"/>
      </w:pPr>
      <w:r>
        <w:rPr>
          <w:rFonts w:ascii="Arial" w:cs="Arial" w:eastAsia="Arial" w:hAnsi="Arial"/>
          <w:color w:val="1A2A1A"/>
          <w:sz w:val="22"/>
          <w:szCs w:val="22"/>
        </w:rPr>
        <w:t xml:space="preserve">Loading unpacked extensions reduces browser security guarantees that apply to store-published extensions</w:t>
      </w:r>
    </w:p>
    <w:p>
      <w:pPr>
        <w:pStyle w:val="ListParagraph"/>
        <w:numPr>
          <w:ilvl w:val="0"/>
          <w:numId w:val="2"/>
        </w:numPr>
        <w:spacing w:after="60" w:before="40"/>
      </w:pPr>
      <w:r>
        <w:rPr>
          <w:rFonts w:ascii="Arial" w:cs="Arial" w:eastAsia="Arial" w:hAnsi="Arial"/>
          <w:color w:val="1A2A1A"/>
          <w:sz w:val="22"/>
          <w:szCs w:val="22"/>
        </w:rPr>
        <w:t xml:space="preserve">The extension requests tabs and storage permissions — organizations with strict extension policies should review before deployment</w:t>
      </w:r>
    </w:p>
    <w:p>
      <w:pPr>
        <w:pStyle w:val="ListParagraph"/>
        <w:numPr>
          <w:ilvl w:val="0"/>
          <w:numId w:val="2"/>
        </w:numPr>
        <w:spacing w:after="60" w:before="40"/>
      </w:pPr>
      <w:r>
        <w:rPr>
          <w:rFonts w:ascii="Arial" w:cs="Arial" w:eastAsia="Arial" w:hAnsi="Arial"/>
          <w:color w:val="1A2A1A"/>
          <w:sz w:val="22"/>
          <w:szCs w:val="22"/>
        </w:rPr>
        <w:t xml:space="preserve">No code signing or publisher verification is applied to this extension</w:t>
      </w:r>
    </w:p>
    <w:p>
      <w:r>
        <w:br w:type="page"/>
      </w:r>
    </w:p>
    <w:p>
      <w:pPr>
        <w:pStyle w:val="Heading1"/>
        <w:pBdr>
          <w:bottom w:val="single" w:color="00AA20" w:sz="8" w:space="6"/>
        </w:pBdr>
        <w:spacing w:after="120" w:before="320"/>
      </w:pPr>
      <w:r>
        <w:rPr>
          <w:rFonts w:ascii="Arial" w:cs="Arial" w:eastAsia="Arial" w:hAnsi="Arial"/>
          <w:b/>
          <w:bCs/>
          <w:color w:val="0D1F0D"/>
          <w:sz w:val="32"/>
          <w:szCs w:val="32"/>
        </w:rPr>
        <w:t xml:space="preserve">4. Operational Limitations</w:t>
      </w:r>
    </w:p>
    <w:p>
      <w:pPr>
        <w:spacing w:after="0" w:before="20"/>
      </w:pPr>
      <w:r>
        <w:t xml:space="preserve"/>
      </w:r>
    </w:p>
    <w:p>
      <w:pPr>
        <w:pStyle w:val="Heading2"/>
        <w:spacing w:after="80" w:before="240"/>
      </w:pPr>
      <w:r>
        <w:rPr>
          <w:rFonts w:ascii="Arial" w:cs="Arial" w:eastAsia="Arial" w:hAnsi="Arial"/>
          <w:b/>
          <w:bCs/>
          <w:color w:val="0D1F0D"/>
          <w:sz w:val="26"/>
          <w:szCs w:val="26"/>
        </w:rPr>
        <w:t xml:space="preserve">4.1  Not a Replacement for Trained Analysts</w:t>
      </w:r>
    </w:p>
    <w:p>
      <w:pPr>
        <w:spacing w:after="80" w:before="60"/>
      </w:pPr>
      <w:r>
        <w:rPr>
          <w:rFonts w:ascii="Arial" w:cs="Arial" w:eastAsia="Arial" w:hAnsi="Arial"/>
          <w:color w:val="1A2A1A"/>
          <w:sz w:val="22"/>
          <w:szCs w:val="22"/>
        </w:rPr>
        <w:t xml:space="preserve">Ghost 2210 is designed to support analysts, not replace them. Every AI-generated output requires human judgment before operational action.</w:t>
      </w:r>
    </w:p>
    <w:p>
      <w:pPr>
        <w:spacing w:after="0" w:before="1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5500" w:sz="4"/>
              <w:left w:val="single" w:color="CC5500" w:sz="16"/>
              <w:bottom w:val="single" w:color="CC5500" w:sz="4"/>
              <w:right w:val="single" w:color="CC5500" w:sz="4"/>
            </w:tcBorders>
            <w:shd w:fill="FFF8F0" w:val="clear"/>
            <w:tcMar>
              <w:top w:type="dxa" w:w="160"/>
              <w:left w:type="dxa" w:w="240"/>
              <w:bottom w:type="dxa" w:w="160"/>
              <w:right w:type="dxa" w:w="240"/>
            </w:tcMar>
          </w:tcPr>
          <w:p>
            <w:pPr>
              <w:spacing w:after="30" w:before="0"/>
            </w:pPr>
            <w:r>
              <w:rPr>
                <w:rFonts w:ascii="Arial" w:cs="Arial" w:eastAsia="Arial" w:hAnsi="Arial"/>
                <w:b/>
                <w:bCs/>
                <w:color w:val="0D1F0D"/>
                <w:sz w:val="22"/>
                <w:szCs w:val="22"/>
              </w:rPr>
              <w:t xml:space="preserve">AI-generated outputs that require analyst review before use:</w:t>
            </w:r>
          </w:p>
          <w:p>
            <w:pPr>
              <w:pStyle w:val="ListParagraph"/>
              <w:numPr>
                <w:ilvl w:val="0"/>
                <w:numId w:val="2"/>
              </w:numPr>
              <w:spacing w:after="60" w:before="40"/>
            </w:pPr>
            <w:r>
              <w:rPr>
                <w:rFonts w:ascii="Arial" w:cs="Arial" w:eastAsia="Arial" w:hAnsi="Arial"/>
                <w:color w:val="1A2A1A"/>
                <w:sz w:val="22"/>
                <w:szCs w:val="22"/>
              </w:rPr>
              <w:t xml:space="preserve">IR Playbooks (Tool 29) — generated playbooks are starting points. Adapt to your specific environment, network, and organizational procedures.</w:t>
            </w:r>
          </w:p>
          <w:p>
            <w:pPr>
              <w:pStyle w:val="ListParagraph"/>
              <w:numPr>
                <w:ilvl w:val="0"/>
                <w:numId w:val="2"/>
              </w:numPr>
              <w:spacing w:after="60" w:before="40"/>
            </w:pPr>
            <w:r>
              <w:rPr>
                <w:rFonts w:ascii="Arial" w:cs="Arial" w:eastAsia="Arial" w:hAnsi="Arial"/>
                <w:color w:val="1A2A1A"/>
                <w:sz w:val="22"/>
                <w:szCs w:val="22"/>
              </w:rPr>
              <w:t xml:space="preserve">Morning Brief (Tool 10) — AI synthesis may miss nuance, mischaracterize severity, or reflect training data gaps. Cross-reference with primary sources.</w:t>
            </w:r>
          </w:p>
          <w:p>
            <w:pPr>
              <w:pStyle w:val="ListParagraph"/>
              <w:numPr>
                <w:ilvl w:val="0"/>
                <w:numId w:val="2"/>
              </w:numPr>
              <w:spacing w:after="60" w:before="40"/>
            </w:pPr>
            <w:r>
              <w:rPr>
                <w:rFonts w:ascii="Arial" w:cs="Arial" w:eastAsia="Arial" w:hAnsi="Arial"/>
                <w:color w:val="1A2A1A"/>
                <w:sz w:val="22"/>
                <w:szCs w:val="22"/>
              </w:rPr>
              <w:t xml:space="preserve">Sector Threat Briefs (Tool 38) — sector-level analysis does not account for your specific technology stack or compensating controls.</w:t>
            </w:r>
          </w:p>
          <w:p>
            <w:pPr>
              <w:pStyle w:val="ListParagraph"/>
              <w:numPr>
                <w:ilvl w:val="0"/>
                <w:numId w:val="2"/>
              </w:numPr>
              <w:spacing w:after="60" w:before="40"/>
            </w:pPr>
            <w:r>
              <w:rPr>
                <w:rFonts w:ascii="Arial" w:cs="Arial" w:eastAsia="Arial" w:hAnsi="Arial"/>
                <w:color w:val="1A2A1A"/>
                <w:sz w:val="22"/>
                <w:szCs w:val="22"/>
              </w:rPr>
              <w:t xml:space="preserve">Deepfake Detection (Tool 35) — AI visual analysis is probabilistic, not definitive. A LIKELY AUTHENTIC verdict does not certify authenticity.</w:t>
            </w:r>
          </w:p>
          <w:p>
            <w:pPr>
              <w:pStyle w:val="ListParagraph"/>
              <w:numPr>
                <w:ilvl w:val="0"/>
                <w:numId w:val="2"/>
              </w:numPr>
              <w:spacing w:after="60" w:before="40"/>
            </w:pPr>
            <w:r>
              <w:rPr>
                <w:rFonts w:ascii="Arial" w:cs="Arial" w:eastAsia="Arial" w:hAnsi="Arial"/>
                <w:color w:val="1A2A1A"/>
                <w:sz w:val="22"/>
                <w:szCs w:val="22"/>
              </w:rPr>
              <w:t xml:space="preserve">Phishing Verdicts (Tool 19) — AI confidence scores are estimates. Final determination requires analyst judgment.</w:t>
            </w:r>
          </w:p>
          <w:p>
            <w:pPr>
              <w:pStyle w:val="ListParagraph"/>
              <w:numPr>
                <w:ilvl w:val="0"/>
                <w:numId w:val="2"/>
              </w:numPr>
              <w:spacing w:after="60" w:before="40"/>
            </w:pPr>
            <w:r>
              <w:rPr>
                <w:rFonts w:ascii="Arial" w:cs="Arial" w:eastAsia="Arial" w:hAnsi="Arial"/>
                <w:color w:val="1A2A1A"/>
                <w:sz w:val="22"/>
                <w:szCs w:val="22"/>
              </w:rPr>
              <w:t xml:space="preserve">Detection Signatures (Tool 18) — Sigma/Snort/YARA rules should be tested in a non-production environment before deployment.</w:t>
            </w:r>
          </w:p>
        </w:tc>
      </w:tr>
    </w:tbl>
    <w:p>
      <w:pPr>
        <w:spacing w:after="0" w:before="30"/>
      </w:pPr>
      <w:r>
        <w:t xml:space="preserve"/>
      </w:r>
    </w:p>
    <w:p>
      <w:pPr>
        <w:pStyle w:val="Heading2"/>
        <w:spacing w:after="80" w:before="240"/>
      </w:pPr>
      <w:r>
        <w:rPr>
          <w:rFonts w:ascii="Arial" w:cs="Arial" w:eastAsia="Arial" w:hAnsi="Arial"/>
          <w:b/>
          <w:bCs/>
          <w:color w:val="0D1F0D"/>
          <w:sz w:val="26"/>
          <w:szCs w:val="26"/>
        </w:rPr>
        <w:t xml:space="preserve">4.2  Scale Constraints</w:t>
      </w:r>
    </w:p>
    <w:p>
      <w:pPr>
        <w:spacing w:after="80" w:before="60"/>
      </w:pPr>
      <w:r>
        <w:rPr>
          <w:rFonts w:ascii="Arial" w:cs="Arial" w:eastAsia="Arial" w:hAnsi="Arial"/>
          <w:color w:val="1A2A1A"/>
          <w:sz w:val="22"/>
          <w:szCs w:val="22"/>
        </w:rPr>
        <w:t xml:space="preserve">Ghost 2210 is designed for small teams and individual analysts. It has not been tested at enterprise scale.</w:t>
      </w:r>
    </w:p>
    <w:p>
      <w:pPr>
        <w:spacing w:after="0" w:before="10"/>
      </w:pPr>
      <w:r>
        <w:t xml:space="preserve"/>
      </w:r>
    </w:p>
    <w:p>
      <w:pPr>
        <w:pStyle w:val="ListParagraph"/>
        <w:numPr>
          <w:ilvl w:val="0"/>
          <w:numId w:val="2"/>
        </w:numPr>
        <w:spacing w:after="60" w:before="40"/>
      </w:pPr>
      <w:r>
        <w:rPr>
          <w:rFonts w:ascii="Arial" w:cs="Arial" w:eastAsia="Arial" w:hAnsi="Arial"/>
          <w:color w:val="1A2A1A"/>
          <w:sz w:val="22"/>
          <w:szCs w:val="22"/>
        </w:rPr>
        <w:t xml:space="preserve">Asset Inventory (Tool 32) — browser localStorage limits mean practical capacity is approximately 500-1000 assets</w:t>
      </w:r>
    </w:p>
    <w:p>
      <w:pPr>
        <w:pStyle w:val="ListParagraph"/>
        <w:numPr>
          <w:ilvl w:val="0"/>
          <w:numId w:val="2"/>
        </w:numPr>
        <w:spacing w:after="60" w:before="40"/>
      </w:pPr>
      <w:r>
        <w:rPr>
          <w:rFonts w:ascii="Arial" w:cs="Arial" w:eastAsia="Arial" w:hAnsi="Arial"/>
          <w:color w:val="1A2A1A"/>
          <w:sz w:val="22"/>
          <w:szCs w:val="22"/>
        </w:rPr>
        <w:t xml:space="preserve">Log Analyzer (Tool 24) — large log files (&gt;50MB) may cause browser performance issues or tab crashes</w:t>
      </w:r>
    </w:p>
    <w:p>
      <w:pPr>
        <w:pStyle w:val="ListParagraph"/>
        <w:numPr>
          <w:ilvl w:val="0"/>
          <w:numId w:val="2"/>
        </w:numPr>
        <w:spacing w:after="60" w:before="40"/>
      </w:pPr>
      <w:r>
        <w:rPr>
          <w:rFonts w:ascii="Arial" w:cs="Arial" w:eastAsia="Arial" w:hAnsi="Arial"/>
          <w:color w:val="1A2A1A"/>
          <w:sz w:val="22"/>
          <w:szCs w:val="22"/>
        </w:rPr>
        <w:t xml:space="preserve">Bulk URL analysis (Tool 34) — limited to 20 URLs per bulk scan</w:t>
      </w:r>
    </w:p>
    <w:p>
      <w:pPr>
        <w:pStyle w:val="ListParagraph"/>
        <w:numPr>
          <w:ilvl w:val="0"/>
          <w:numId w:val="2"/>
        </w:numPr>
        <w:spacing w:after="60" w:before="40"/>
      </w:pPr>
      <w:r>
        <w:rPr>
          <w:rFonts w:ascii="Arial" w:cs="Arial" w:eastAsia="Arial" w:hAnsi="Arial"/>
          <w:color w:val="1A2A1A"/>
          <w:sz w:val="22"/>
          <w:szCs w:val="22"/>
        </w:rPr>
        <w:t xml:space="preserve">No multi-user collaboration — each browser session is independent with no shared state</w:t>
      </w:r>
    </w:p>
    <w:p>
      <w:pPr>
        <w:pStyle w:val="ListParagraph"/>
        <w:numPr>
          <w:ilvl w:val="0"/>
          <w:numId w:val="2"/>
        </w:numPr>
        <w:spacing w:after="60" w:before="40"/>
      </w:pPr>
      <w:r>
        <w:rPr>
          <w:rFonts w:ascii="Arial" w:cs="Arial" w:eastAsia="Arial" w:hAnsi="Arial"/>
          <w:color w:val="1A2A1A"/>
          <w:sz w:val="22"/>
          <w:szCs w:val="22"/>
        </w:rPr>
        <w:t xml:space="preserve">No role-based access control — any user with the URL can access all tools</w:t>
      </w:r>
    </w:p>
    <w:p>
      <w:pPr>
        <w:spacing w:after="0" w:before="30"/>
      </w:pPr>
      <w:r>
        <w:t xml:space="preserve"/>
      </w:r>
    </w:p>
    <w:p>
      <w:pPr>
        <w:pStyle w:val="Heading2"/>
        <w:spacing w:after="80" w:before="240"/>
      </w:pPr>
      <w:r>
        <w:rPr>
          <w:rFonts w:ascii="Arial" w:cs="Arial" w:eastAsia="Arial" w:hAnsi="Arial"/>
          <w:b/>
          <w:bCs/>
          <w:color w:val="0D1F0D"/>
          <w:sz w:val="26"/>
          <w:szCs w:val="26"/>
        </w:rPr>
        <w:t xml:space="preserve">4.3  Regulatory and Compliance Constraints</w:t>
      </w:r>
    </w:p>
    <w:p>
      <w:pPr>
        <w:spacing w:after="80" w:before="60"/>
      </w:pPr>
      <w:r>
        <w:rPr>
          <w:rFonts w:ascii="Arial" w:cs="Arial" w:eastAsia="Arial" w:hAnsi="Arial"/>
          <w:color w:val="1A2A1A"/>
          <w:sz w:val="22"/>
          <w:szCs w:val="22"/>
        </w:rPr>
        <w:t xml:space="preserve">Ghost 2210 is not certified against any compliance framework. Organizations in regulated industries should note:</w:t>
      </w:r>
    </w:p>
    <w:p>
      <w:pPr>
        <w:spacing w:after="0" w:before="10"/>
      </w:pPr>
      <w:r>
        <w:t xml:space="preserve"/>
      </w:r>
    </w:p>
    <w:p>
      <w:pPr>
        <w:pStyle w:val="ListParagraph"/>
        <w:numPr>
          <w:ilvl w:val="0"/>
          <w:numId w:val="2"/>
        </w:numPr>
        <w:spacing w:after="60" w:before="40"/>
      </w:pPr>
      <w:r>
        <w:rPr>
          <w:rFonts w:ascii="Arial" w:cs="Arial" w:eastAsia="Arial" w:hAnsi="Arial"/>
          <w:color w:val="1A2A1A"/>
          <w:sz w:val="22"/>
          <w:szCs w:val="22"/>
        </w:rPr>
        <w:t xml:space="default"/>
      </w:r>
    </w:p>
    <w:p>
      <w:pPr>
        <w:pStyle w:val="ListParagraph"/>
        <w:numPr>
          <w:ilvl w:val="0"/>
          <w:numId w:val="2"/>
        </w:numPr>
        <w:spacing w:after="60" w:before="40"/>
      </w:pPr>
      <w:r>
        <w:rPr>
          <w:rFonts w:ascii="Arial" w:cs="Arial" w:eastAsia="Arial" w:hAnsi="Arial"/>
          <w:color w:val="1A2A1A"/>
          <w:sz w:val="22"/>
          <w:szCs w:val="22"/>
        </w:rPr>
        <w:t xml:space="default"/>
      </w:r>
    </w:p>
    <w:p>
      <w:pPr>
        <w:pStyle w:val="ListParagraph"/>
        <w:numPr>
          <w:ilvl w:val="0"/>
          <w:numId w:val="2"/>
        </w:numPr>
        <w:spacing w:after="60" w:before="40"/>
      </w:pPr>
      <w:r>
        <w:rPr>
          <w:rFonts w:ascii="Arial" w:cs="Arial" w:eastAsia="Arial" w:hAnsi="Arial"/>
          <w:color w:val="1A2A1A"/>
          <w:sz w:val="22"/>
          <w:szCs w:val="22"/>
        </w:rPr>
        <w:t xml:space="default"/>
      </w:r>
    </w:p>
    <w:p>
      <w:pPr>
        <w:pStyle w:val="ListParagraph"/>
        <w:numPr>
          <w:ilvl w:val="0"/>
          <w:numId w:val="2"/>
        </w:numPr>
        <w:spacing w:after="60" w:before="40"/>
      </w:pPr>
      <w:r>
        <w:rPr>
          <w:rFonts w:ascii="Arial" w:cs="Arial" w:eastAsia="Arial" w:hAnsi="Arial"/>
          <w:color w:val="1A2A1A"/>
          <w:sz w:val="22"/>
          <w:szCs w:val="22"/>
        </w:rPr>
        <w:t xml:space="default"/>
      </w:r>
    </w:p>
    <w:p>
      <w:pPr>
        <w:pStyle w:val="ListParagraph"/>
        <w:numPr>
          <w:ilvl w:val="0"/>
          <w:numId w:val="2"/>
        </w:numPr>
        <w:spacing w:after="60" w:before="40"/>
      </w:pPr>
      <w:r>
        <w:rPr>
          <w:rFonts w:ascii="Arial" w:cs="Arial" w:eastAsia="Arial" w:hAnsi="Arial"/>
          <w:color w:val="1A2A1A"/>
          <w:sz w:val="22"/>
          <w:szCs w:val="22"/>
        </w:rPr>
        <w:t xml:space="default"/>
      </w:r>
    </w:p>
    <w:p>
      <w:pPr>
        <w:spacing w:after="0" w:before="1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0000" w:sz="4"/>
              <w:left w:val="single" w:color="CC0000" w:sz="16"/>
              <w:bottom w:val="single" w:color="CC0000" w:sz="4"/>
              <w:right w:val="single" w:color="CC0000" w:sz="4"/>
            </w:tcBorders>
            <w:shd w:fill="FFF0F0" w:val="clear"/>
            <w:tcMar>
              <w:top w:type="dxa" w:w="160"/>
              <w:left w:type="dxa" w:w="240"/>
              <w:bottom w:type="dxa" w:w="160"/>
              <w:right w:type="dxa" w:w="240"/>
            </w:tcMar>
          </w:tcPr>
          <w:p>
            <w:pPr>
              <w:spacing w:after="30" w:before="0"/>
            </w:pPr>
            <w:r>
              <w:rPr>
                <w:rFonts w:ascii="Arial" w:cs="Arial" w:eastAsia="Arial" w:hAnsi="Arial"/>
                <w:b/>
                <w:bCs/>
                <w:color w:val="CC0000"/>
                <w:sz w:val="22"/>
                <w:szCs w:val="22"/>
              </w:rPr>
              <w:t xml:space="preserve">Data entry warning — applies to all AI tools (10, 11, 12, 13, 14, 17, 29, 30, 35, 38):</w:t>
            </w:r>
          </w:p>
          <w:p>
            <w:pPr>
              <w:spacing w:after="80" w:before="60"/>
            </w:pPr>
            <w:r>
              <w:rPr>
                <w:rFonts w:ascii="Arial" w:cs="Arial" w:eastAsia="Arial" w:hAnsi="Arial"/>
                <w:color w:val="1A2A1A"/>
                <w:sz w:val="22"/>
                <w:szCs w:val="22"/>
              </w:rPr>
              <w:t xml:space="preserve">Text entered into AI-powered tools is sent to the Anthropic API for processing. Do not enter classified information, personally identifiable information, protected health information, controlled unclassified information, or any data subject to regulatory protection.</w:t>
            </w:r>
          </w:p>
        </w:tc>
      </w:tr>
    </w:tbl>
    <w:p>
      <w:r>
        <w:br w:type="page"/>
      </w:r>
    </w:p>
    <w:p>
      <w:pPr>
        <w:pStyle w:val="Heading1"/>
        <w:pBdr>
          <w:bottom w:val="single" w:color="00AA20" w:sz="8" w:space="6"/>
        </w:pBdr>
        <w:spacing w:after="120" w:before="320"/>
      </w:pPr>
      <w:r>
        <w:rPr>
          <w:rFonts w:ascii="Arial" w:cs="Arial" w:eastAsia="Arial" w:hAnsi="Arial"/>
          <w:b/>
          <w:bCs/>
          <w:color w:val="0D1F0D"/>
          <w:sz w:val="32"/>
          <w:szCs w:val="32"/>
        </w:rPr>
        <w:t xml:space="preserve">5. Complete Limitations Summary Table</w:t>
      </w:r>
    </w:p>
    <w:p>
      <w:pPr>
        <w:spacing w:after="0" w:before="20"/>
      </w:pPr>
      <w:r>
        <w:t xml:space="preserve"/>
      </w:r>
    </w:p>
    <w:p>
      <w:pPr>
        <w:spacing w:after="80" w:before="60"/>
      </w:pPr>
      <w:r>
        <w:rPr>
          <w:rFonts w:ascii="Arial" w:cs="Arial" w:eastAsia="Arial" w:hAnsi="Arial"/>
          <w:color w:val="1A2A1A"/>
          <w:sz w:val="22"/>
          <w:szCs w:val="22"/>
        </w:rPr>
        <w:t xml:space="preserve">All significant limitations across all 38 tools organized by area, with severity rating and mitigation.</w:t>
      </w:r>
    </w:p>
    <w:p>
      <w:pPr>
        <w:spacing w:after="0" w:before="1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600"/>
        <w:gridCol w:w="2960"/>
        <w:gridCol w:w="1000"/>
      </w:tblGrid>
      <w:tr>
        <w:tc>
          <w:tcPr>
            <w:tcW w:type="dxa" w:w="1800"/>
            <w:tcBorders>
              <w:top w:val="single" w:color="0D1F0D" w:sz="1"/>
              <w:left w:val="single" w:color="0D1F0D" w:sz="1"/>
              <w:bottom w:val="single" w:color="0D1F0D" w:sz="1"/>
              <w:right w:val="single" w:color="0D1F0D" w:sz="1"/>
            </w:tcBorders>
            <w:shd w:fill="0D1F0D" w:val="clear"/>
            <w:tcMar>
              <w:top w:type="dxa" w:w="90"/>
              <w:left w:type="dxa" w:w="120"/>
              <w:bottom w:type="dxa" w:w="90"/>
              <w:right w:type="dxa" w:w="120"/>
            </w:tcMar>
          </w:tcPr>
          <w:p>
            <w:r>
              <w:rPr>
                <w:rFonts w:ascii="Arial" w:cs="Arial" w:eastAsia="Arial" w:hAnsi="Arial"/>
                <w:b/>
                <w:bCs/>
                <w:color w:val="FFFFFF"/>
                <w:sz w:val="19"/>
                <w:szCs w:val="19"/>
              </w:rPr>
              <w:t xml:space="preserve">Area</w:t>
            </w:r>
          </w:p>
        </w:tc>
        <w:tc>
          <w:tcPr>
            <w:tcW w:type="dxa" w:w="3600"/>
            <w:tcBorders>
              <w:top w:val="single" w:color="0D1F0D" w:sz="1"/>
              <w:left w:val="single" w:color="0D1F0D" w:sz="1"/>
              <w:bottom w:val="single" w:color="0D1F0D" w:sz="1"/>
              <w:right w:val="single" w:color="0D1F0D" w:sz="1"/>
            </w:tcBorders>
            <w:shd w:fill="0D1F0D" w:val="clear"/>
            <w:tcMar>
              <w:top w:type="dxa" w:w="90"/>
              <w:left w:type="dxa" w:w="120"/>
              <w:bottom w:type="dxa" w:w="90"/>
              <w:right w:type="dxa" w:w="120"/>
            </w:tcMar>
          </w:tcPr>
          <w:p>
            <w:r>
              <w:rPr>
                <w:rFonts w:ascii="Arial" w:cs="Arial" w:eastAsia="Arial" w:hAnsi="Arial"/>
                <w:b/>
                <w:bCs/>
                <w:color w:val="FFFFFF"/>
                <w:sz w:val="19"/>
                <w:szCs w:val="19"/>
              </w:rPr>
              <w:t xml:space="preserve">Limitation</w:t>
            </w:r>
          </w:p>
        </w:tc>
        <w:tc>
          <w:tcPr>
            <w:tcW w:type="dxa" w:w="2960"/>
            <w:tcBorders>
              <w:top w:val="single" w:color="0D1F0D" w:sz="1"/>
              <w:left w:val="single" w:color="0D1F0D" w:sz="1"/>
              <w:bottom w:val="single" w:color="0D1F0D" w:sz="1"/>
              <w:right w:val="single" w:color="0D1F0D" w:sz="1"/>
            </w:tcBorders>
            <w:shd w:fill="0D1F0D" w:val="clear"/>
            <w:tcMar>
              <w:top w:type="dxa" w:w="90"/>
              <w:left w:type="dxa" w:w="120"/>
              <w:bottom w:type="dxa" w:w="90"/>
              <w:right w:type="dxa" w:w="120"/>
            </w:tcMar>
          </w:tcPr>
          <w:p>
            <w:r>
              <w:rPr>
                <w:rFonts w:ascii="Arial" w:cs="Arial" w:eastAsia="Arial" w:hAnsi="Arial"/>
                <w:b/>
                <w:bCs/>
                <w:color w:val="FFFFFF"/>
                <w:sz w:val="19"/>
                <w:szCs w:val="19"/>
              </w:rPr>
              <w:t xml:space="preserve">Mitigation / Workaround</w:t>
            </w:r>
          </w:p>
        </w:tc>
        <w:tc>
          <w:tcPr>
            <w:tcW w:type="dxa" w:w="1000"/>
            <w:tcBorders>
              <w:top w:val="single" w:color="0D1F0D" w:sz="1"/>
              <w:left w:val="single" w:color="0D1F0D" w:sz="1"/>
              <w:bottom w:val="single" w:color="0D1F0D" w:sz="1"/>
              <w:right w:val="single" w:color="0D1F0D" w:sz="1"/>
            </w:tcBorders>
            <w:shd w:fill="0D1F0D" w:val="clear"/>
            <w:tcMar>
              <w:top w:type="dxa" w:w="90"/>
              <w:left w:type="dxa" w:w="120"/>
              <w:bottom w:type="dxa" w:w="90"/>
              <w:right w:type="dxa" w:w="120"/>
            </w:tcMar>
          </w:tcPr>
          <w:p>
            <w:r>
              <w:rPr>
                <w:rFonts w:ascii="Arial" w:cs="Arial" w:eastAsia="Arial" w:hAnsi="Arial"/>
                <w:b/>
                <w:bCs/>
                <w:color w:val="FFFFFF"/>
                <w:sz w:val="19"/>
                <w:szCs w:val="19"/>
              </w:rPr>
              <w:t xml:space="preserve">Severity</w:t>
            </w:r>
          </w:p>
        </w:tc>
      </w:tr>
      <w:tr>
        <w:tc>
          <w:tcPr>
            <w:tcW w:type="dxa" w:w="18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0D1F0D"/>
                <w:sz w:val="19"/>
                <w:szCs w:val="19"/>
              </w:rPr>
              <w:t xml:space="preserve">Security Audit</w:t>
            </w:r>
          </w:p>
        </w:tc>
        <w:tc>
          <w:tcPr>
            <w:tcW w:type="dxa" w:w="36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No independent security audit or penetration test conducted</w:t>
            </w:r>
          </w:p>
        </w:tc>
        <w:tc>
          <w:tcPr>
            <w:tcW w:type="dxa" w:w="296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Conduct internal review before sensitive deployment; treat as demonstration tool</w:t>
            </w:r>
          </w:p>
        </w:tc>
        <w:tc>
          <w:tcPr>
            <w:tcW w:type="dxa" w:w="10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CC0000"/>
                <w:sz w:val="19"/>
                <w:szCs w:val="19"/>
              </w:rPr>
              <w:t xml:space="preserve">Critical</w:t>
            </w:r>
          </w:p>
        </w:tc>
      </w:tr>
      <w:tr>
        <w:tc>
          <w:tcPr>
            <w:tcW w:type="dxa" w:w="18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0D1F0D"/>
                <w:sz w:val="19"/>
                <w:szCs w:val="19"/>
              </w:rPr>
              <w:t xml:space="preserve">Data Classification</w:t>
            </w:r>
          </w:p>
        </w:tc>
        <w:tc>
          <w:tcPr>
            <w:tcW w:type="dxa" w:w="36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AI tools send input text to Anthropic API</w:t>
            </w:r>
          </w:p>
        </w:tc>
        <w:tc>
          <w:tcPr>
            <w:tcW w:type="dxa" w:w="296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Never enter classified, PII, PHI, CUI, or controlled data into AI tools</w:t>
            </w:r>
          </w:p>
        </w:tc>
        <w:tc>
          <w:tcPr>
            <w:tcW w:type="dxa" w:w="10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CC0000"/>
                <w:sz w:val="19"/>
                <w:szCs w:val="19"/>
              </w:rPr>
              <w:t xml:space="preserve">Critical</w:t>
            </w:r>
          </w:p>
        </w:tc>
      </w:tr>
      <w:tr>
        <w:tc>
          <w:tcPr>
            <w:tcW w:type="dxa" w:w="18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0D1F0D"/>
                <w:sz w:val="19"/>
                <w:szCs w:val="19"/>
              </w:rPr>
              <w:t xml:space="preserve">Compliance</w:t>
            </w:r>
          </w:p>
        </w:tc>
        <w:tc>
          <w:tcPr>
            <w:tcW w:type="dxa" w:w="36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No FedRAMP, FIPS, HIPAA, PCI DSS, or CMMC certification</w:t>
            </w:r>
          </w:p>
        </w:tc>
        <w:tc>
          <w:tcPr>
            <w:tcW w:type="dxa" w:w="296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Use as supplementary tool only; primary compliance controls must be maintained</w:t>
            </w:r>
          </w:p>
        </w:tc>
        <w:tc>
          <w:tcPr>
            <w:tcW w:type="dxa" w:w="10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CC0000"/>
                <w:sz w:val="19"/>
                <w:szCs w:val="19"/>
              </w:rPr>
              <w:t xml:space="preserve">Critical</w:t>
            </w:r>
          </w:p>
        </w:tc>
      </w:tr>
      <w:tr>
        <w:tc>
          <w:tcPr>
            <w:tcW w:type="dxa" w:w="18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0D1F0D"/>
                <w:sz w:val="19"/>
                <w:szCs w:val="19"/>
              </w:rPr>
              <w:t xml:space="preserve">Live Monitoring</w:t>
            </w:r>
          </w:p>
        </w:tc>
        <w:tc>
          <w:tcPr>
            <w:tcW w:type="dxa" w:w="36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No endpoint, network, or SIEM visibility</w:t>
            </w:r>
          </w:p>
        </w:tc>
        <w:tc>
          <w:tcPr>
            <w:tcW w:type="dxa" w:w="296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Complement with EDR, SIEM, and network monitoring tools</w:t>
            </w:r>
          </w:p>
        </w:tc>
        <w:tc>
          <w:tcPr>
            <w:tcW w:type="dxa" w:w="10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CC5500"/>
                <w:sz w:val="19"/>
                <w:szCs w:val="19"/>
              </w:rPr>
              <w:t xml:space="preserve">High</w:t>
            </w:r>
          </w:p>
        </w:tc>
      </w:tr>
      <w:tr>
        <w:tc>
          <w:tcPr>
            <w:tcW w:type="dxa" w:w="18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0D1F0D"/>
                <w:sz w:val="19"/>
                <w:szCs w:val="19"/>
              </w:rPr>
              <w:t xml:space="preserve">NVD API</w:t>
            </w:r>
          </w:p>
        </w:tc>
        <w:tc>
          <w:tcPr>
            <w:tcW w:type="dxa" w:w="36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CORS blocks direct NVD API calls in browser</w:t>
            </w:r>
          </w:p>
        </w:tc>
        <w:tc>
          <w:tcPr>
            <w:tcW w:type="dxa" w:w="296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Proxy fallback used; static curated data shown when all proxies fail</w:t>
            </w:r>
          </w:p>
        </w:tc>
        <w:tc>
          <w:tcPr>
            <w:tcW w:type="dxa" w:w="10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CC5500"/>
                <w:sz w:val="19"/>
                <w:szCs w:val="19"/>
              </w:rPr>
              <w:t xml:space="preserve">High</w:t>
            </w:r>
          </w:p>
        </w:tc>
      </w:tr>
      <w:tr>
        <w:tc>
          <w:tcPr>
            <w:tcW w:type="dxa" w:w="18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0D1F0D"/>
                <w:sz w:val="19"/>
                <w:szCs w:val="19"/>
              </w:rPr>
              <w:t xml:space="preserve">RSS Proxies</w:t>
            </w:r>
          </w:p>
        </w:tc>
        <w:tc>
          <w:tcPr>
            <w:tcW w:type="dxa" w:w="36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Free proxy services unreliable — allorigins, corsproxy, codetabs</w:t>
            </w:r>
          </w:p>
        </w:tc>
        <w:tc>
          <w:tcPr>
            <w:tcW w:type="dxa" w:w="296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Three-proxy fallback chain; rich static fallback data for all sources</w:t>
            </w:r>
          </w:p>
        </w:tc>
        <w:tc>
          <w:tcPr>
            <w:tcW w:type="dxa" w:w="10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CC5500"/>
                <w:sz w:val="19"/>
                <w:szCs w:val="19"/>
              </w:rPr>
              <w:t xml:space="preserve">High</w:t>
            </w:r>
          </w:p>
        </w:tc>
      </w:tr>
      <w:tr>
        <w:tc>
          <w:tcPr>
            <w:tcW w:type="dxa" w:w="18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0D1F0D"/>
                <w:sz w:val="19"/>
                <w:szCs w:val="19"/>
              </w:rPr>
              <w:t xml:space="preserve">API Key Security</w:t>
            </w:r>
          </w:p>
        </w:tc>
        <w:tc>
          <w:tcPr>
            <w:tcW w:type="dxa" w:w="36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API keys entered in browser — visible to extensions and page JS</w:t>
            </w:r>
          </w:p>
        </w:tc>
        <w:tc>
          <w:tcPr>
            <w:tcW w:type="dxa" w:w="296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Use keys with spend limits; create dedicated keys; rotate regularly</w:t>
            </w:r>
          </w:p>
        </w:tc>
        <w:tc>
          <w:tcPr>
            <w:tcW w:type="dxa" w:w="10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CC5500"/>
                <w:sz w:val="19"/>
                <w:szCs w:val="19"/>
              </w:rPr>
              <w:t xml:space="preserve">High</w:t>
            </w:r>
          </w:p>
        </w:tc>
      </w:tr>
      <w:tr>
        <w:tc>
          <w:tcPr>
            <w:tcW w:type="dxa" w:w="18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0D1F0D"/>
                <w:sz w:val="19"/>
                <w:szCs w:val="19"/>
              </w:rPr>
              <w:t xml:space="preserve">Zero-Days</w:t>
            </w:r>
          </w:p>
        </w:tc>
        <w:tc>
          <w:tcPr>
            <w:tcW w:type="dxa" w:w="36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No coverage of undisclosed zero-day vulnerabilities</w:t>
            </w:r>
          </w:p>
        </w:tc>
        <w:tc>
          <w:tcPr>
            <w:tcW w:type="dxa" w:w="296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Monitor vendor advisories and private threat intel feeds for 0-days</w:t>
            </w:r>
          </w:p>
        </w:tc>
        <w:tc>
          <w:tcPr>
            <w:tcW w:type="dxa" w:w="10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CC5500"/>
                <w:sz w:val="19"/>
                <w:szCs w:val="19"/>
              </w:rPr>
              <w:t xml:space="preserve">High</w:t>
            </w:r>
          </w:p>
        </w:tc>
      </w:tr>
      <w:tr>
        <w:tc>
          <w:tcPr>
            <w:tcW w:type="dxa" w:w="18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0D1F0D"/>
                <w:sz w:val="19"/>
                <w:szCs w:val="19"/>
              </w:rPr>
              <w:t xml:space="preserve">Real-Time Detection</w:t>
            </w:r>
          </w:p>
        </w:tc>
        <w:tc>
          <w:tcPr>
            <w:tcW w:type="dxa" w:w="36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IDS and Log Analyzer require manual log paste/upload</w:t>
            </w:r>
          </w:p>
        </w:tc>
        <w:tc>
          <w:tcPr>
            <w:tcW w:type="dxa" w:w="296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Integrate with SIEM for live log forwarding in production environments</w:t>
            </w:r>
          </w:p>
        </w:tc>
        <w:tc>
          <w:tcPr>
            <w:tcW w:type="dxa" w:w="10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CC5500"/>
                <w:sz w:val="19"/>
                <w:szCs w:val="19"/>
              </w:rPr>
              <w:t xml:space="preserve">High</w:t>
            </w:r>
          </w:p>
        </w:tc>
      </w:tr>
      <w:tr>
        <w:tc>
          <w:tcPr>
            <w:tcW w:type="dxa" w:w="18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0D1F0D"/>
                <w:sz w:val="19"/>
                <w:szCs w:val="19"/>
              </w:rPr>
              <w:t xml:space="preserve">Scale</w:t>
            </w:r>
          </w:p>
        </w:tc>
        <w:tc>
          <w:tcPr>
            <w:tcW w:type="dxa" w:w="36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Browser localStorage limits practical asset capacity ~500-1000</w:t>
            </w:r>
          </w:p>
        </w:tc>
        <w:tc>
          <w:tcPr>
            <w:tcW w:type="dxa" w:w="296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Use enterprise CMDB for larger inventories; sync subset to Tool 32</w:t>
            </w:r>
          </w:p>
        </w:tc>
        <w:tc>
          <w:tcPr>
            <w:tcW w:type="dxa" w:w="10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886600"/>
                <w:sz w:val="19"/>
                <w:szCs w:val="19"/>
              </w:rPr>
              <w:t xml:space="preserve">Medium</w:t>
            </w:r>
          </w:p>
        </w:tc>
      </w:tr>
      <w:tr>
        <w:tc>
          <w:tcPr>
            <w:tcW w:type="dxa" w:w="18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0D1F0D"/>
                <w:sz w:val="19"/>
                <w:szCs w:val="19"/>
              </w:rPr>
              <w:t xml:space="preserve">Browser Extension</w:t>
            </w:r>
          </w:p>
        </w:tc>
        <w:tc>
          <w:tcPr>
            <w:tcW w:type="dxa" w:w="36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Not store-published; requires Developer Mode; no code signing</w:t>
            </w:r>
          </w:p>
        </w:tc>
        <w:tc>
          <w:tcPr>
            <w:tcW w:type="dxa" w:w="296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Load only on managed trusted devices; review permissions before deployment</w:t>
            </w:r>
          </w:p>
        </w:tc>
        <w:tc>
          <w:tcPr>
            <w:tcW w:type="dxa" w:w="10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886600"/>
                <w:sz w:val="19"/>
                <w:szCs w:val="19"/>
              </w:rPr>
              <w:t xml:space="preserve">Medium</w:t>
            </w:r>
          </w:p>
        </w:tc>
      </w:tr>
      <w:tr>
        <w:tc>
          <w:tcPr>
            <w:tcW w:type="dxa" w:w="18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0D1F0D"/>
                <w:sz w:val="19"/>
                <w:szCs w:val="19"/>
              </w:rPr>
              <w:t xml:space="preserve">EPSS/SSVC Accuracy</w:t>
            </w:r>
          </w:p>
        </w:tc>
        <w:tc>
          <w:tcPr>
            <w:tcW w:type="dxa" w:w="36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Scores are probabilistic estimates from public data</w:t>
            </w:r>
          </w:p>
        </w:tc>
        <w:tc>
          <w:tcPr>
            <w:tcW w:type="dxa" w:w="296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Factor in your specific environment and compensating controls</w:t>
            </w:r>
          </w:p>
        </w:tc>
        <w:tc>
          <w:tcPr>
            <w:tcW w:type="dxa" w:w="10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886600"/>
                <w:sz w:val="19"/>
                <w:szCs w:val="19"/>
              </w:rPr>
              <w:t xml:space="preserve">Medium</w:t>
            </w:r>
          </w:p>
        </w:tc>
      </w:tr>
      <w:tr>
        <w:tc>
          <w:tcPr>
            <w:tcW w:type="dxa" w:w="18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0D1F0D"/>
                <w:sz w:val="19"/>
                <w:szCs w:val="19"/>
              </w:rPr>
              <w:t xml:space="preserve">AI Hallucination</w:t>
            </w:r>
          </w:p>
        </w:tc>
        <w:tc>
          <w:tcPr>
            <w:tcW w:type="dxa" w:w="36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AI-generated content may contain inaccuracies or outdated information</w:t>
            </w:r>
          </w:p>
        </w:tc>
        <w:tc>
          <w:tcPr>
            <w:tcW w:type="dxa" w:w="296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All AI outputs must be reviewed by qualified analyst before operational use</w:t>
            </w:r>
          </w:p>
        </w:tc>
        <w:tc>
          <w:tcPr>
            <w:tcW w:type="dxa" w:w="10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886600"/>
                <w:sz w:val="19"/>
                <w:szCs w:val="19"/>
              </w:rPr>
              <w:t xml:space="preserve">Medium</w:t>
            </w:r>
          </w:p>
        </w:tc>
      </w:tr>
      <w:tr>
        <w:tc>
          <w:tcPr>
            <w:tcW w:type="dxa" w:w="18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0D1F0D"/>
                <w:sz w:val="19"/>
                <w:szCs w:val="19"/>
              </w:rPr>
              <w:t xml:space="preserve">Deepfake Detection</w:t>
            </w:r>
          </w:p>
        </w:tc>
        <w:tc>
          <w:tcPr>
            <w:tcW w:type="dxa" w:w="36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AI visual analysis is probabilistic — not definitive forensic proof</w:t>
            </w:r>
          </w:p>
        </w:tc>
        <w:tc>
          <w:tcPr>
            <w:tcW w:type="dxa" w:w="296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Use as one signal among multiple; engage professional forensics for legal matters</w:t>
            </w:r>
          </w:p>
        </w:tc>
        <w:tc>
          <w:tcPr>
            <w:tcW w:type="dxa" w:w="10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886600"/>
                <w:sz w:val="19"/>
                <w:szCs w:val="19"/>
              </w:rPr>
              <w:t xml:space="preserve">Medium</w:t>
            </w:r>
          </w:p>
        </w:tc>
      </w:tr>
      <w:tr>
        <w:tc>
          <w:tcPr>
            <w:tcW w:type="dxa" w:w="18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0D1F0D"/>
                <w:sz w:val="19"/>
                <w:szCs w:val="19"/>
              </w:rPr>
              <w:t xml:space="preserve">Threat Actor Data</w:t>
            </w:r>
          </w:p>
        </w:tc>
        <w:tc>
          <w:tcPr>
            <w:tcW w:type="dxa" w:w="36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Profiles based on publicly reported intelligence only</w:t>
            </w:r>
          </w:p>
        </w:tc>
        <w:tc>
          <w:tcPr>
            <w:tcW w:type="dxa" w:w="296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Supplement with proprietary threat intelligence feeds for classified context</w:t>
            </w:r>
          </w:p>
        </w:tc>
        <w:tc>
          <w:tcPr>
            <w:tcW w:type="dxa" w:w="10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886600"/>
                <w:sz w:val="19"/>
                <w:szCs w:val="19"/>
              </w:rPr>
              <w:t xml:space="preserve">Medium</w:t>
            </w:r>
          </w:p>
        </w:tc>
      </w:tr>
      <w:tr>
        <w:tc>
          <w:tcPr>
            <w:tcW w:type="dxa" w:w="18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0D1F0D"/>
                <w:sz w:val="19"/>
                <w:szCs w:val="19"/>
              </w:rPr>
              <w:t xml:space="preserve">No Multi-User</w:t>
            </w:r>
          </w:p>
        </w:tc>
        <w:tc>
          <w:tcPr>
            <w:tcW w:type="dxa" w:w="36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No collaboration, shared state, or role-based access control</w:t>
            </w:r>
          </w:p>
        </w:tc>
        <w:tc>
          <w:tcPr>
            <w:tcW w:type="dxa" w:w="296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Deploy separate instances per team; control access via Cloudflare Worker auth</w:t>
            </w:r>
          </w:p>
        </w:tc>
        <w:tc>
          <w:tcPr>
            <w:tcW w:type="dxa" w:w="10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886600"/>
                <w:sz w:val="19"/>
                <w:szCs w:val="19"/>
              </w:rPr>
              <w:t xml:space="preserve">Medium</w:t>
            </w:r>
          </w:p>
        </w:tc>
      </w:tr>
      <w:tr>
        <w:tc>
          <w:tcPr>
            <w:tcW w:type="dxa" w:w="18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0D1F0D"/>
                <w:sz w:val="19"/>
                <w:szCs w:val="19"/>
              </w:rPr>
              <w:t xml:space="preserve">Auto-Refresh</w:t>
            </w:r>
          </w:p>
        </w:tc>
        <w:tc>
          <w:tcPr>
            <w:tcW w:type="dxa" w:w="36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Tools auto-refresh every 5-15 minutes — not truly real-time</w:t>
            </w:r>
          </w:p>
        </w:tc>
        <w:tc>
          <w:tcPr>
            <w:tcW w:type="dxa" w:w="296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Critical monitoring requires dedicated real-time tools alongside Ghost 2210</w:t>
            </w:r>
          </w:p>
        </w:tc>
        <w:tc>
          <w:tcPr>
            <w:tcW w:type="dxa" w:w="10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006620"/>
                <w:sz w:val="19"/>
                <w:szCs w:val="19"/>
              </w:rPr>
              <w:t xml:space="preserve">Low</w:t>
            </w:r>
          </w:p>
        </w:tc>
      </w:tr>
      <w:tr>
        <w:tc>
          <w:tcPr>
            <w:tcW w:type="dxa" w:w="18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0D1F0D"/>
                <w:sz w:val="19"/>
                <w:szCs w:val="19"/>
              </w:rPr>
              <w:t xml:space="preserve">Mobile Support</w:t>
            </w:r>
          </w:p>
        </w:tc>
        <w:tc>
          <w:tcPr>
            <w:tcW w:type="dxa" w:w="36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Performance degraded on mobile devices and small screens</w:t>
            </w:r>
          </w:p>
        </w:tc>
        <w:tc>
          <w:tcPr>
            <w:tcW w:type="dxa" w:w="296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Designed for desktop use; primary deployment on large monitors recommended</w:t>
            </w:r>
          </w:p>
        </w:tc>
        <w:tc>
          <w:tcPr>
            <w:tcW w:type="dxa" w:w="10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006620"/>
                <w:sz w:val="19"/>
                <w:szCs w:val="19"/>
              </w:rPr>
              <w:t xml:space="preserve">Low</w:t>
            </w:r>
          </w:p>
        </w:tc>
      </w:tr>
      <w:tr>
        <w:tc>
          <w:tcPr>
            <w:tcW w:type="dxa" w:w="18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0D1F0D"/>
                <w:sz w:val="19"/>
                <w:szCs w:val="19"/>
              </w:rPr>
              <w:t xml:space="preserve">Log File Size</w:t>
            </w:r>
          </w:p>
        </w:tc>
        <w:tc>
          <w:tcPr>
            <w:tcW w:type="dxa" w:w="36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Files over ~50MB may cause browser performance issues</w:t>
            </w:r>
          </w:p>
        </w:tc>
        <w:tc>
          <w:tcPr>
            <w:tcW w:type="dxa" w:w="296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Split large log files; use dedicated log analysis tools for high-volume environments</w:t>
            </w:r>
          </w:p>
        </w:tc>
        <w:tc>
          <w:tcPr>
            <w:tcW w:type="dxa" w:w="10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006620"/>
                <w:sz w:val="19"/>
                <w:szCs w:val="19"/>
              </w:rPr>
              <w:t xml:space="preserve">Low</w:t>
            </w:r>
          </w:p>
        </w:tc>
      </w:tr>
      <w:tr>
        <w:tc>
          <w:tcPr>
            <w:tcW w:type="dxa" w:w="18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0D1F0D"/>
                <w:sz w:val="19"/>
                <w:szCs w:val="19"/>
              </w:rPr>
              <w:t xml:space="preserve">Proxy Data Privacy</w:t>
            </w:r>
          </w:p>
        </w:tc>
        <w:tc>
          <w:tcPr>
            <w:tcW w:type="dxa" w:w="36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Fetched URLs visible to proxy operator</w:t>
            </w:r>
          </w:p>
        </w:tc>
        <w:tc>
          <w:tcPr>
            <w:tcW w:type="dxa" w:w="296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Only public feed URLs are proxied — no user or sensitive data sent through proxies</w:t>
            </w:r>
          </w:p>
        </w:tc>
        <w:tc>
          <w:tcPr>
            <w:tcW w:type="dxa" w:w="10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006620"/>
                <w:sz w:val="19"/>
                <w:szCs w:val="19"/>
              </w:rPr>
              <w:t xml:space="preserve">Low</w:t>
            </w:r>
          </w:p>
        </w:tc>
      </w:tr>
    </w:tbl>
    <w:p>
      <w:r>
        <w:br w:type="page"/>
      </w:r>
    </w:p>
    <w:p>
      <w:pPr>
        <w:pStyle w:val="Heading1"/>
        <w:pBdr>
          <w:bottom w:val="single" w:color="00AA20" w:sz="8" w:space="6"/>
        </w:pBdr>
        <w:spacing w:after="120" w:before="320"/>
      </w:pPr>
      <w:r>
        <w:rPr>
          <w:rFonts w:ascii="Arial" w:cs="Arial" w:eastAsia="Arial" w:hAnsi="Arial"/>
          <w:b/>
          <w:bCs/>
          <w:color w:val="0D1F0D"/>
          <w:sz w:val="32"/>
          <w:szCs w:val="32"/>
        </w:rPr>
        <w:t xml:space="preserve">6. Appropriate Use Cases</w:t>
      </w:r>
    </w:p>
    <w:p>
      <w:pPr>
        <w:spacing w:after="0" w:before="20"/>
      </w:pPr>
      <w:r>
        <w:t xml:space="preserve"/>
      </w:r>
    </w:p>
    <w:p>
      <w:pPr>
        <w:pStyle w:val="Heading2"/>
        <w:spacing w:after="80" w:before="240"/>
      </w:pPr>
      <w:r>
        <w:rPr>
          <w:rFonts w:ascii="Arial" w:cs="Arial" w:eastAsia="Arial" w:hAnsi="Arial"/>
          <w:b/>
          <w:bCs/>
          <w:color w:val="006620"/>
          <w:sz w:val="26"/>
          <w:szCs w:val="26"/>
        </w:rPr>
        <w:t xml:space="preserve">6.1  Well-Suited For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6620" w:sz="4"/>
              <w:left w:val="single" w:color="006620" w:sz="16"/>
              <w:bottom w:val="single" w:color="006620" w:sz="4"/>
              <w:right w:val="single" w:color="006620" w:sz="4"/>
            </w:tcBorders>
            <w:shd w:fill="F0F8F0" w:val="clear"/>
            <w:tcMar>
              <w:top w:type="dxa" w:w="160"/>
              <w:left w:type="dxa" w:w="240"/>
              <w:bottom w:type="dxa" w:w="160"/>
              <w:right w:type="dxa" w:w="240"/>
            </w:tcMar>
          </w:tcPr>
          <w:p>
            <w:pPr>
              <w:spacing w:after="40" w:before="0"/>
            </w:pPr>
            <w:r>
              <w:rPr>
                <w:rFonts w:ascii="Arial" w:cs="Arial" w:eastAsia="Arial" w:hAnsi="Arial"/>
                <w:b/>
                <w:bCs/>
                <w:color w:val="0D1F0D"/>
                <w:sz w:val="22"/>
                <w:szCs w:val="22"/>
              </w:rPr>
              <w:t xml:space="preserve">Ghost 2210 is well suited for the following use cases:</w:t>
            </w:r>
          </w:p>
          <w:p>
            <w:pPr>
              <w:pStyle w:val="ListParagraph"/>
              <w:numPr>
                <w:ilvl w:val="0"/>
                <w:numId w:val="2"/>
              </w:numPr>
              <w:spacing w:after="60" w:before="40"/>
            </w:pPr>
            <w:r>
              <w:rPr>
                <w:rFonts w:ascii="Arial" w:cs="Arial" w:eastAsia="Arial" w:hAnsi="Arial"/>
                <w:b/>
                <w:bCs/>
                <w:color w:val="0D1F0D"/>
                <w:sz w:val="22"/>
                <w:szCs w:val="22"/>
              </w:rPr>
              <w:t xml:space="preserve">Demonstration and proof of concept: </w:t>
            </w:r>
            <w:r>
              <w:rPr>
                <w:rFonts w:ascii="Arial" w:cs="Arial" w:eastAsia="Arial" w:hAnsi="Arial"/>
                <w:color w:val="1A2A1A"/>
                <w:sz w:val="22"/>
                <w:szCs w:val="22"/>
              </w:rPr>
              <w:t xml:space="preserve">Showing decision-makers what AI-enabled defensive tooling looks like and what it costs to build</w:t>
            </w:r>
          </w:p>
          <w:p>
            <w:pPr>
              <w:pStyle w:val="ListParagraph"/>
              <w:numPr>
                <w:ilvl w:val="0"/>
                <w:numId w:val="2"/>
              </w:numPr>
              <w:spacing w:after="60" w:before="40"/>
            </w:pPr>
            <w:r>
              <w:rPr>
                <w:rFonts w:ascii="Arial" w:cs="Arial" w:eastAsia="Arial" w:hAnsi="Arial"/>
                <w:b/>
                <w:bCs/>
                <w:color w:val="0D1F0D"/>
                <w:sz w:val="22"/>
                <w:szCs w:val="22"/>
              </w:rPr>
              <w:t xml:space="preserve">Small team daily operations: </w:t>
            </w:r>
            <w:r>
              <w:rPr>
                <w:rFonts w:ascii="Arial" w:cs="Arial" w:eastAsia="Arial" w:hAnsi="Arial"/>
                <w:color w:val="1A2A1A"/>
                <w:sz w:val="22"/>
                <w:szCs w:val="22"/>
              </w:rPr>
              <w:t xml:space="preserve">SOC analysts, incident responders, and security engineers at organizations without enterprise tooling</w:t>
            </w:r>
          </w:p>
          <w:p>
            <w:pPr>
              <w:pStyle w:val="ListParagraph"/>
              <w:numPr>
                <w:ilvl w:val="0"/>
                <w:numId w:val="2"/>
              </w:numPr>
              <w:spacing w:after="60" w:before="40"/>
            </w:pPr>
            <w:r>
              <w:rPr>
                <w:rFonts w:ascii="Arial" w:cs="Arial" w:eastAsia="Arial" w:hAnsi="Arial"/>
                <w:b/>
                <w:bCs/>
                <w:color w:val="0D1F0D"/>
                <w:sz w:val="22"/>
                <w:szCs w:val="22"/>
              </w:rPr>
              <w:t xml:space="preserve">Resource-constrained organizations: </w:t>
            </w:r>
            <w:r>
              <w:rPr>
                <w:rFonts w:ascii="Arial" w:cs="Arial" w:eastAsia="Arial" w:hAnsi="Arial"/>
                <w:color w:val="1A2A1A"/>
                <w:sz w:val="22"/>
                <w:szCs w:val="22"/>
              </w:rPr>
              <w:t xml:space="preserve">Rural hospitals, community banks, local utilities, small government agencies, and municipal emergency services</w:t>
            </w:r>
          </w:p>
          <w:p>
            <w:pPr>
              <w:pStyle w:val="ListParagraph"/>
              <w:numPr>
                <w:ilvl w:val="0"/>
                <w:numId w:val="2"/>
              </w:numPr>
              <w:spacing w:after="60" w:before="40"/>
            </w:pPr>
            <w:r>
              <w:rPr>
                <w:rFonts w:ascii="Arial" w:cs="Arial" w:eastAsia="Arial" w:hAnsi="Arial"/>
                <w:b/>
                <w:bCs/>
                <w:color w:val="0D1F0D"/>
                <w:sz w:val="22"/>
                <w:szCs w:val="22"/>
              </w:rPr>
              <w:t xml:space="preserve">Security awareness training: </w:t>
            </w:r>
            <w:r>
              <w:rPr>
                <w:rFonts w:ascii="Arial" w:cs="Arial" w:eastAsia="Arial" w:hAnsi="Arial"/>
                <w:color w:val="1A2A1A"/>
                <w:sz w:val="22"/>
                <w:szCs w:val="22"/>
              </w:rPr>
              <w:t xml:space="preserve">Phishing simulations, red flag analysis, and team briefings</w:t>
            </w:r>
          </w:p>
          <w:p>
            <w:pPr>
              <w:pStyle w:val="ListParagraph"/>
              <w:numPr>
                <w:ilvl w:val="0"/>
                <w:numId w:val="2"/>
              </w:numPr>
              <w:spacing w:after="60" w:before="40"/>
            </w:pPr>
            <w:r>
              <w:rPr>
                <w:rFonts w:ascii="Arial" w:cs="Arial" w:eastAsia="Arial" w:hAnsi="Arial"/>
                <w:b/>
                <w:bCs/>
                <w:color w:val="0D1F0D"/>
                <w:sz w:val="22"/>
                <w:szCs w:val="22"/>
              </w:rPr>
              <w:t xml:space="preserve">Reference implementation: </w:t>
            </w:r>
            <w:r>
              <w:rPr>
                <w:rFonts w:ascii="Arial" w:cs="Arial" w:eastAsia="Arial" w:hAnsi="Arial"/>
                <w:color w:val="1A2A1A"/>
                <w:sz w:val="22"/>
                <w:szCs w:val="22"/>
              </w:rPr>
              <w:t xml:space="preserve">Template for building production-grade AI-enabled security tooling with proper infrastructure</w:t>
            </w:r>
          </w:p>
          <w:p>
            <w:pPr>
              <w:pStyle w:val="ListParagraph"/>
              <w:numPr>
                <w:ilvl w:val="0"/>
                <w:numId w:val="2"/>
              </w:numPr>
              <w:spacing w:after="60" w:before="40"/>
            </w:pPr>
            <w:r>
              <w:rPr>
                <w:rFonts w:ascii="Arial" w:cs="Arial" w:eastAsia="Arial" w:hAnsi="Arial"/>
                <w:b/>
                <w:bCs/>
                <w:color w:val="0D1F0D"/>
                <w:sz w:val="22"/>
                <w:szCs w:val="22"/>
              </w:rPr>
              <w:t xml:space="preserve">Incident first response: </w:t>
            </w:r>
            <w:r>
              <w:rPr>
                <w:rFonts w:ascii="Arial" w:cs="Arial" w:eastAsia="Arial" w:hAnsi="Arial"/>
                <w:color w:val="1A2A1A"/>
                <w:sz w:val="22"/>
                <w:szCs w:val="22"/>
              </w:rPr>
              <w:t xml:space="preserve">IR playbook generation, initial log analysis, and threat intelligence gathering during the first hour of an incident</w:t>
            </w:r>
          </w:p>
          <w:p>
            <w:pPr>
              <w:pStyle w:val="ListParagraph"/>
              <w:numPr>
                <w:ilvl w:val="0"/>
                <w:numId w:val="2"/>
              </w:numPr>
              <w:spacing w:after="60" w:before="40"/>
            </w:pPr>
            <w:r>
              <w:rPr>
                <w:rFonts w:ascii="Arial" w:cs="Arial" w:eastAsia="Arial" w:hAnsi="Arial"/>
                <w:b/>
                <w:bCs/>
                <w:color w:val="0D1F0D"/>
                <w:sz w:val="22"/>
                <w:szCs w:val="22"/>
              </w:rPr>
              <w:t xml:space="preserve">Morning threat intelligence: </w:t>
            </w:r>
            <w:r>
              <w:rPr>
                <w:rFonts w:ascii="Arial" w:cs="Arial" w:eastAsia="Arial" w:hAnsi="Arial"/>
                <w:color w:val="1A2A1A"/>
                <w:sz w:val="22"/>
                <w:szCs w:val="22"/>
              </w:rPr>
              <w:t xml:space="preserve">Daily briefings and CVE tracking for teams without dedicated threat intelligence subscriptions</w:t>
            </w:r>
          </w:p>
        </w:tc>
      </w:tr>
    </w:tbl>
    <w:p>
      <w:pPr>
        <w:spacing w:after="0" w:before="30"/>
      </w:pPr>
      <w:r>
        <w:t xml:space="preserve"/>
      </w:r>
    </w:p>
    <w:p>
      <w:pPr>
        <w:pStyle w:val="Heading2"/>
        <w:spacing w:after="80" w:before="240"/>
      </w:pPr>
      <w:r>
        <w:rPr>
          <w:rFonts w:ascii="Arial" w:cs="Arial" w:eastAsia="Arial" w:hAnsi="Arial"/>
          <w:b/>
          <w:bCs/>
          <w:color w:val="CC0000"/>
          <w:sz w:val="26"/>
          <w:szCs w:val="26"/>
        </w:rPr>
        <w:t xml:space="preserve">6.2  Not Well-Suited For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0000" w:sz="4"/>
              <w:left w:val="single" w:color="CC0000" w:sz="16"/>
              <w:bottom w:val="single" w:color="CC0000" w:sz="4"/>
              <w:right w:val="single" w:color="CC0000" w:sz="4"/>
            </w:tcBorders>
            <w:shd w:fill="FFF0F0" w:val="clear"/>
            <w:tcMar>
              <w:top w:type="dxa" w:w="160"/>
              <w:left w:type="dxa" w:w="240"/>
              <w:bottom w:type="dxa" w:w="160"/>
              <w:right w:type="dxa" w:w="240"/>
            </w:tcMar>
          </w:tcPr>
          <w:p>
            <w:pPr>
              <w:spacing w:after="40" w:before="0"/>
            </w:pPr>
            <w:r>
              <w:rPr>
                <w:rFonts w:ascii="Arial" w:cs="Arial" w:eastAsia="Arial" w:hAnsi="Arial"/>
                <w:b/>
                <w:bCs/>
                <w:color w:val="0D1F0D"/>
                <w:sz w:val="22"/>
                <w:szCs w:val="22"/>
              </w:rPr>
              <w:t xml:space="preserve">Ghost 2210 is not appropriate as primary tooling for:</w:t>
            </w:r>
          </w:p>
          <w:p>
            <w:pPr>
              <w:pStyle w:val="ListParagraph"/>
              <w:numPr>
                <w:ilvl w:val="0"/>
                <w:numId w:val="2"/>
              </w:numPr>
              <w:spacing w:after="60" w:before="40"/>
            </w:pPr>
            <w:r>
              <w:rPr>
                <w:rFonts w:ascii="Arial" w:cs="Arial" w:eastAsia="Arial" w:hAnsi="Arial"/>
                <w:b/>
                <w:bCs/>
                <w:color w:val="0D1F0D"/>
                <w:sz w:val="22"/>
                <w:szCs w:val="22"/>
              </w:rPr>
              <w:t xml:space="preserve">Classified environments: </w:t>
            </w:r>
            <w:r>
              <w:rPr>
                <w:rFonts w:ascii="Arial" w:cs="Arial" w:eastAsia="Arial" w:hAnsi="Arial"/>
                <w:color w:val="1A2A1A"/>
                <w:sz w:val="22"/>
                <w:szCs w:val="22"/>
              </w:rPr>
              <w:t xml:space="preserve">No authorization for classified networks; AI tools call external APIs</w:t>
            </w:r>
          </w:p>
          <w:p>
            <w:pPr>
              <w:pStyle w:val="ListParagraph"/>
              <w:numPr>
                <w:ilvl w:val="0"/>
                <w:numId w:val="2"/>
              </w:numPr>
              <w:spacing w:after="60" w:before="40"/>
            </w:pPr>
            <w:r>
              <w:rPr>
                <w:rFonts w:ascii="Arial" w:cs="Arial" w:eastAsia="Arial" w:hAnsi="Arial"/>
                <w:b/>
                <w:bCs/>
                <w:color w:val="0D1F0D"/>
                <w:sz w:val="22"/>
                <w:szCs w:val="22"/>
              </w:rPr>
              <w:t xml:space="preserve">Sole defensive capability: </w:t>
            </w:r>
            <w:r>
              <w:rPr>
                <w:rFonts w:ascii="Arial" w:cs="Arial" w:eastAsia="Arial" w:hAnsi="Arial"/>
                <w:color w:val="1A2A1A"/>
                <w:sz w:val="22"/>
                <w:szCs w:val="22"/>
              </w:rPr>
              <w:t xml:space="preserve">Must be complemented with EDR, SIEM, network monitoring, and trained analysts</w:t>
            </w:r>
          </w:p>
          <w:p>
            <w:pPr>
              <w:pStyle w:val="ListParagraph"/>
              <w:numPr>
                <w:ilvl w:val="0"/>
                <w:numId w:val="2"/>
              </w:numPr>
              <w:spacing w:after="60" w:before="40"/>
            </w:pPr>
            <w:r>
              <w:rPr>
                <w:rFonts w:ascii="Arial" w:cs="Arial" w:eastAsia="Arial" w:hAnsi="Arial"/>
                <w:b/>
                <w:bCs/>
                <w:color w:val="0D1F0D"/>
                <w:sz w:val="22"/>
                <w:szCs w:val="22"/>
              </w:rPr>
              <w:t xml:space="preserve">High-volume log analysis: </w:t>
            </w:r>
            <w:r>
              <w:rPr>
                <w:rFonts w:ascii="Arial" w:cs="Arial" w:eastAsia="Arial" w:hAnsi="Arial"/>
                <w:color w:val="1A2A1A"/>
                <w:sz w:val="22"/>
                <w:szCs w:val="22"/>
              </w:rPr>
              <w:t xml:space="preserve">Not designed for processing millions of events per day</w:t>
            </w:r>
          </w:p>
          <w:p>
            <w:pPr>
              <w:pStyle w:val="ListParagraph"/>
              <w:numPr>
                <w:ilvl w:val="0"/>
                <w:numId w:val="2"/>
              </w:numPr>
              <w:spacing w:after="60" w:before="40"/>
            </w:pPr>
            <w:r>
              <w:rPr>
                <w:rFonts w:ascii="Arial" w:cs="Arial" w:eastAsia="Arial" w:hAnsi="Arial"/>
                <w:b/>
                <w:bCs/>
                <w:color w:val="0D1F0D"/>
                <w:sz w:val="22"/>
                <w:szCs w:val="22"/>
              </w:rPr>
              <w:t xml:space="preserve">Forensic evidence collection: </w:t>
            </w:r>
            <w:r>
              <w:rPr>
                <w:rFonts w:ascii="Arial" w:cs="Arial" w:eastAsia="Arial" w:hAnsi="Arial"/>
                <w:color w:val="1A2A1A"/>
                <w:sz w:val="22"/>
                <w:szCs w:val="22"/>
              </w:rPr>
              <w:t xml:space="preserve">Outputs are not suitable as primary evidence in legal or regulatory proceedings</w:t>
            </w:r>
          </w:p>
          <w:p>
            <w:pPr>
              <w:pStyle w:val="ListParagraph"/>
              <w:numPr>
                <w:ilvl w:val="0"/>
                <w:numId w:val="2"/>
              </w:numPr>
              <w:spacing w:after="60" w:before="40"/>
            </w:pPr>
            <w:r>
              <w:rPr>
                <w:rFonts w:ascii="Arial" w:cs="Arial" w:eastAsia="Arial" w:hAnsi="Arial"/>
                <w:b/>
                <w:bCs/>
                <w:color w:val="0D1F0D"/>
                <w:sz w:val="22"/>
                <w:szCs w:val="22"/>
              </w:rPr>
              <w:t xml:space="preserve">Critical infrastructure sole reliance: </w:t>
            </w:r>
            <w:r>
              <w:rPr>
                <w:rFonts w:ascii="Arial" w:cs="Arial" w:eastAsia="Arial" w:hAnsi="Arial"/>
                <w:color w:val="1A2A1A"/>
                <w:sz w:val="22"/>
                <w:szCs w:val="22"/>
              </w:rPr>
              <w:t xml:space="preserve">Energy, water, nuclear, and defense industrial base should use enterprise-grade OT security platforms alongside this toolkit</w:t>
            </w:r>
          </w:p>
          <w:p>
            <w:pPr>
              <w:pStyle w:val="ListParagraph"/>
              <w:numPr>
                <w:ilvl w:val="0"/>
                <w:numId w:val="2"/>
              </w:numPr>
              <w:spacing w:after="60" w:before="40"/>
            </w:pPr>
            <w:r>
              <w:rPr>
                <w:rFonts w:ascii="Arial" w:cs="Arial" w:eastAsia="Arial" w:hAnsi="Arial"/>
                <w:b/>
                <w:bCs/>
                <w:color w:val="0D1F0D"/>
                <w:sz w:val="22"/>
                <w:szCs w:val="22"/>
              </w:rPr>
              <w:t xml:space="preserve">Enterprise SOC replacement: </w:t>
            </w:r>
            <w:r>
              <w:rPr>
                <w:rFonts w:ascii="Arial" w:cs="Arial" w:eastAsia="Arial" w:hAnsi="Arial"/>
                <w:color w:val="1A2A1A"/>
                <w:sz w:val="22"/>
                <w:szCs w:val="22"/>
              </w:rPr>
              <w:t xml:space="preserve">Does not provide the depth, integration, or scale that enterprise security operations require</w:t>
            </w:r>
          </w:p>
        </w:tc>
      </w:tr>
    </w:tbl>
    <w:p>
      <w:r>
        <w:br w:type="page"/>
      </w:r>
    </w:p>
    <w:p>
      <w:pPr>
        <w:pStyle w:val="Heading1"/>
        <w:pBdr>
          <w:bottom w:val="single" w:color="00AA20" w:sz="8" w:space="6"/>
        </w:pBdr>
        <w:spacing w:after="120" w:before="320"/>
      </w:pPr>
      <w:r>
        <w:rPr>
          <w:rFonts w:ascii="Arial" w:cs="Arial" w:eastAsia="Arial" w:hAnsi="Arial"/>
          <w:b/>
          <w:bCs/>
          <w:color w:val="0D1F0D"/>
          <w:sz w:val="32"/>
          <w:szCs w:val="32"/>
        </w:rPr>
        <w:t xml:space="preserve">7. Recommended Complementary Capabilities</w:t>
      </w:r>
    </w:p>
    <w:p>
      <w:pPr>
        <w:spacing w:after="0" w:before="20"/>
      </w:pPr>
      <w:r>
        <w:t xml:space="preserve"/>
      </w:r>
    </w:p>
    <w:p>
      <w:pPr>
        <w:spacing w:after="80" w:before="60"/>
      </w:pPr>
      <w:r>
        <w:rPr>
          <w:rFonts w:ascii="Arial" w:cs="Arial" w:eastAsia="Arial" w:hAnsi="Arial"/>
          <w:color w:val="1A2A1A"/>
          <w:sz w:val="22"/>
          <w:szCs w:val="22"/>
        </w:rPr>
        <w:t xml:space="preserve">For organizations using Ghost 2210, the following complementary capabilities address gaps in the toolkit:</w:t>
      </w:r>
    </w:p>
    <w:p>
      <w:pPr>
        <w:spacing w:after="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600"/>
        <w:gridCol w:w="3360"/>
      </w:tblGrid>
      <w:tr>
        <w:tc>
          <w:tcPr>
            <w:tcW w:type="dxa" w:w="2400"/>
            <w:tcBorders>
              <w:top w:val="single" w:color="0D1F0D" w:sz="1"/>
              <w:left w:val="single" w:color="0D1F0D" w:sz="1"/>
              <w:bottom w:val="single" w:color="0D1F0D" w:sz="1"/>
              <w:right w:val="single" w:color="0D1F0D" w:sz="1"/>
            </w:tcBorders>
            <w:shd w:fill="0D1F0D" w:val="clear"/>
            <w:tcMar>
              <w:top w:type="dxa" w:w="90"/>
              <w:left w:type="dxa" w:w="120"/>
              <w:bottom w:type="dxa" w:w="90"/>
              <w:right w:type="dxa" w:w="120"/>
            </w:tcMar>
          </w:tcPr>
          <w:p>
            <w:r>
              <w:rPr>
                <w:rFonts w:ascii="Arial" w:cs="Arial" w:eastAsia="Arial" w:hAnsi="Arial"/>
                <w:b/>
                <w:bCs/>
                <w:color w:val="FFFFFF"/>
                <w:sz w:val="19"/>
                <w:szCs w:val="19"/>
              </w:rPr>
              <w:t xml:space="preserve">Gap</w:t>
            </w:r>
          </w:p>
        </w:tc>
        <w:tc>
          <w:tcPr>
            <w:tcW w:type="dxa" w:w="3600"/>
            <w:tcBorders>
              <w:top w:val="single" w:color="0D1F0D" w:sz="1"/>
              <w:left w:val="single" w:color="0D1F0D" w:sz="1"/>
              <w:bottom w:val="single" w:color="0D1F0D" w:sz="1"/>
              <w:right w:val="single" w:color="0D1F0D" w:sz="1"/>
            </w:tcBorders>
            <w:shd w:fill="0D1F0D" w:val="clear"/>
            <w:tcMar>
              <w:top w:type="dxa" w:w="90"/>
              <w:left w:type="dxa" w:w="120"/>
              <w:bottom w:type="dxa" w:w="90"/>
              <w:right w:type="dxa" w:w="120"/>
            </w:tcMar>
          </w:tcPr>
          <w:p>
            <w:r>
              <w:rPr>
                <w:rFonts w:ascii="Arial" w:cs="Arial" w:eastAsia="Arial" w:hAnsi="Arial"/>
                <w:b/>
                <w:bCs/>
                <w:color w:val="FFFFFF"/>
                <w:sz w:val="19"/>
                <w:szCs w:val="19"/>
              </w:rPr>
              <w:t xml:space="preserve">What Ghost 2210 Provides</w:t>
            </w:r>
          </w:p>
        </w:tc>
        <w:tc>
          <w:tcPr>
            <w:tcW w:type="dxa" w:w="3360"/>
            <w:tcBorders>
              <w:top w:val="single" w:color="0D1F0D" w:sz="1"/>
              <w:left w:val="single" w:color="0D1F0D" w:sz="1"/>
              <w:bottom w:val="single" w:color="0D1F0D" w:sz="1"/>
              <w:right w:val="single" w:color="0D1F0D" w:sz="1"/>
            </w:tcBorders>
            <w:shd w:fill="0D1F0D" w:val="clear"/>
            <w:tcMar>
              <w:top w:type="dxa" w:w="90"/>
              <w:left w:type="dxa" w:w="120"/>
              <w:bottom w:type="dxa" w:w="90"/>
              <w:right w:type="dxa" w:w="120"/>
            </w:tcMar>
          </w:tcPr>
          <w:p>
            <w:r>
              <w:rPr>
                <w:rFonts w:ascii="Arial" w:cs="Arial" w:eastAsia="Arial" w:hAnsi="Arial"/>
                <w:b/>
                <w:bCs/>
                <w:color w:val="FFFFFF"/>
                <w:sz w:val="19"/>
                <w:szCs w:val="19"/>
              </w:rPr>
              <w:t xml:space="preserve">Recommended Complement</w:t>
            </w:r>
          </w:p>
        </w:tc>
      </w:tr>
      <w:tr>
        <w:tc>
          <w:tcPr>
            <w:tcW w:type="dxa" w:w="24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0D1F0D"/>
                <w:sz w:val="19"/>
                <w:szCs w:val="19"/>
              </w:rPr>
              <w:t xml:space="preserve">Endpoint visibility</w:t>
            </w:r>
          </w:p>
        </w:tc>
        <w:tc>
          <w:tcPr>
            <w:tcW w:type="dxa" w:w="36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None — no EDR capability</w:t>
            </w:r>
          </w:p>
        </w:tc>
        <w:tc>
          <w:tcPr>
            <w:tcW w:type="dxa" w:w="336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4A8A"/>
                <w:sz w:val="19"/>
                <w:szCs w:val="19"/>
              </w:rPr>
              <w:t xml:space="preserve">CrowdStrike, SentinelOne, Microsoft Defender for Endpoint, or open-source Wazuh</w:t>
            </w:r>
          </w:p>
        </w:tc>
      </w:tr>
      <w:tr>
        <w:tc>
          <w:tcPr>
            <w:tcW w:type="dxa" w:w="24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0D1F0D"/>
                <w:sz w:val="19"/>
                <w:szCs w:val="19"/>
              </w:rPr>
              <w:t xml:space="preserve">Live log analysis</w:t>
            </w:r>
          </w:p>
        </w:tc>
        <w:tc>
          <w:tcPr>
            <w:tcW w:type="dxa" w:w="36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Manual paste/upload only</w:t>
            </w:r>
          </w:p>
        </w:tc>
        <w:tc>
          <w:tcPr>
            <w:tcW w:type="dxa" w:w="336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4A8A"/>
                <w:sz w:val="19"/>
                <w:szCs w:val="19"/>
              </w:rPr>
              <w:t xml:space="preserve">Splunk, Elastic SIEM, Microsoft Sentinel, Chronicle, or open-source Graylog</w:t>
            </w:r>
          </w:p>
        </w:tc>
      </w:tr>
      <w:tr>
        <w:tc>
          <w:tcPr>
            <w:tcW w:type="dxa" w:w="24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0D1F0D"/>
                <w:sz w:val="19"/>
                <w:szCs w:val="19"/>
              </w:rPr>
              <w:t xml:space="preserve">Network monitoring</w:t>
            </w:r>
          </w:p>
        </w:tc>
        <w:tc>
          <w:tcPr>
            <w:tcW w:type="dxa" w:w="36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No packet capture or flow analysis</w:t>
            </w:r>
          </w:p>
        </w:tc>
        <w:tc>
          <w:tcPr>
            <w:tcW w:type="dxa" w:w="336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4A8A"/>
                <w:sz w:val="19"/>
                <w:szCs w:val="19"/>
              </w:rPr>
              <w:t xml:space="preserve">Zeek/Bro, Suricata, Arkime, or commercial NDR platforms</w:t>
            </w:r>
          </w:p>
        </w:tc>
      </w:tr>
      <w:tr>
        <w:tc>
          <w:tcPr>
            <w:tcW w:type="dxa" w:w="24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0D1F0D"/>
                <w:sz w:val="19"/>
                <w:szCs w:val="19"/>
              </w:rPr>
              <w:t xml:space="preserve">Threat intelligence</w:t>
            </w:r>
          </w:p>
        </w:tc>
        <w:tc>
          <w:tcPr>
            <w:tcW w:type="dxa" w:w="36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Public feeds — TLP:CLEAR only</w:t>
            </w:r>
          </w:p>
        </w:tc>
        <w:tc>
          <w:tcPr>
            <w:tcW w:type="dxa" w:w="336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4A8A"/>
                <w:sz w:val="19"/>
                <w:szCs w:val="19"/>
              </w:rPr>
              <w:t xml:space="preserve">Recorded Future, Mandiant Advantage, CrowdStrike Intel, or ISAC membership</w:t>
            </w:r>
          </w:p>
        </w:tc>
      </w:tr>
      <w:tr>
        <w:tc>
          <w:tcPr>
            <w:tcW w:type="dxa" w:w="24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0D1F0D"/>
                <w:sz w:val="19"/>
                <w:szCs w:val="19"/>
              </w:rPr>
              <w:t xml:space="preserve">Vulnerability scanning</w:t>
            </w:r>
          </w:p>
        </w:tc>
        <w:tc>
          <w:tcPr>
            <w:tcW w:type="dxa" w:w="36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Passive Shodan lookup only</w:t>
            </w:r>
          </w:p>
        </w:tc>
        <w:tc>
          <w:tcPr>
            <w:tcW w:type="dxa" w:w="336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4A8A"/>
                <w:sz w:val="19"/>
                <w:szCs w:val="19"/>
              </w:rPr>
              <w:t xml:space="preserve">Tenable Nessus, Qualys, Rapid7, or open-source OpenVAS</w:t>
            </w:r>
          </w:p>
        </w:tc>
      </w:tr>
      <w:tr>
        <w:tc>
          <w:tcPr>
            <w:tcW w:type="dxa" w:w="24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0D1F0D"/>
                <w:sz w:val="19"/>
                <w:szCs w:val="19"/>
              </w:rPr>
              <w:t xml:space="preserve">Identity and access</w:t>
            </w:r>
          </w:p>
        </w:tc>
        <w:tc>
          <w:tcPr>
            <w:tcW w:type="dxa" w:w="36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No IAM or UEBA visibility</w:t>
            </w:r>
          </w:p>
        </w:tc>
        <w:tc>
          <w:tcPr>
            <w:tcW w:type="dxa" w:w="336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4A8A"/>
                <w:sz w:val="19"/>
                <w:szCs w:val="19"/>
              </w:rPr>
              <w:t xml:space="preserve">Azure AD/Entra, Okta, or CyberArk for PAM</w:t>
            </w:r>
          </w:p>
        </w:tc>
      </w:tr>
      <w:tr>
        <w:tc>
          <w:tcPr>
            <w:tcW w:type="dxa" w:w="24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0D1F0D"/>
                <w:sz w:val="19"/>
                <w:szCs w:val="19"/>
              </w:rPr>
              <w:t xml:space="preserve">Incident management</w:t>
            </w:r>
          </w:p>
        </w:tc>
        <w:tc>
          <w:tcPr>
            <w:tcW w:type="dxa" w:w="36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Playbook generation only</w:t>
            </w:r>
          </w:p>
        </w:tc>
        <w:tc>
          <w:tcPr>
            <w:tcW w:type="dxa" w:w="336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4A8A"/>
                <w:sz w:val="19"/>
                <w:szCs w:val="19"/>
              </w:rPr>
              <w:t xml:space="preserve">ServiceNow, PagerDuty, or TheHive for case management</w:t>
            </w:r>
          </w:p>
        </w:tc>
      </w:tr>
      <w:tr>
        <w:tc>
          <w:tcPr>
            <w:tcW w:type="dxa" w:w="24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0D1F0D"/>
                <w:sz w:val="19"/>
                <w:szCs w:val="19"/>
              </w:rPr>
              <w:t xml:space="preserve">Cloud security</w:t>
            </w:r>
          </w:p>
        </w:tc>
        <w:tc>
          <w:tcPr>
            <w:tcW w:type="dxa" w:w="36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No cloud environment visibility</w:t>
            </w:r>
          </w:p>
        </w:tc>
        <w:tc>
          <w:tcPr>
            <w:tcW w:type="dxa" w:w="336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4A8A"/>
                <w:sz w:val="19"/>
                <w:szCs w:val="19"/>
              </w:rPr>
              <w:t xml:space="preserve">AWS Security Hub, Azure Defender, or GCP Security Command Center</w:t>
            </w:r>
          </w:p>
        </w:tc>
      </w:tr>
      <w:tr>
        <w:tc>
          <w:tcPr>
            <w:tcW w:type="dxa" w:w="24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0D1F0D"/>
                <w:sz w:val="19"/>
                <w:szCs w:val="19"/>
              </w:rPr>
              <w:t xml:space="preserve">OT/ICS security</w:t>
            </w:r>
          </w:p>
        </w:tc>
        <w:tc>
          <w:tcPr>
            <w:tcW w:type="dxa" w:w="36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ATG mapping only</w:t>
            </w:r>
          </w:p>
        </w:tc>
        <w:tc>
          <w:tcPr>
            <w:tcW w:type="dxa" w:w="336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4A8A"/>
                <w:sz w:val="19"/>
                <w:szCs w:val="19"/>
              </w:rPr>
              <w:t xml:space="preserve">Claroty, Dragos, Nozomi, or Armis for OT network visibility</w:t>
            </w:r>
          </w:p>
        </w:tc>
      </w:tr>
    </w:tbl>
    <w:p>
      <w:pPr>
        <w:spacing w:after="0" w:before="40"/>
      </w:pPr>
      <w:r>
        <w:t xml:space="preserve"/>
      </w:r>
    </w:p>
    <w:p>
      <w:pPr>
        <w:pBdr>
          <w:bottom w:val="single" w:color="D0D8D0" w:sz="4" w:space="2"/>
        </w:pBdr>
        <w:spacing w:after="80" w:before="80"/>
      </w:pPr>
      <w:r>
        <w:t xml:space="preserve"/>
      </w:r>
    </w:p>
    <w:p>
      <w:pPr>
        <w:spacing w:after="0" w:before="20"/>
      </w:pPr>
      <w:r>
        <w:t xml:space="preserve"/>
      </w:r>
    </w:p>
    <w:p>
      <w:pPr>
        <w:spacing w:after="20" w:before="0"/>
        <w:jc w:val="center"/>
      </w:pPr>
      <w:r>
        <w:rPr>
          <w:rFonts w:ascii="Courier New" w:cs="Courier New" w:eastAsia="Courier New" w:hAnsi="Courier New"/>
          <w:b/>
          <w:bCs/>
          <w:color w:val="006620"/>
          <w:spacing w:val="200"/>
          <w:sz w:val="18"/>
          <w:szCs w:val="18"/>
        </w:rPr>
        <w:t xml:space="preserve">GHOST 2210 CREW</w:t>
      </w:r>
    </w:p>
    <w:p>
      <w:pPr>
        <w:spacing w:after="20" w:before="0"/>
        <w:jc w:val="center"/>
      </w:pPr>
      <w:r>
        <w:rPr>
          <w:rFonts w:ascii="Arial" w:cs="Arial" w:eastAsia="Arial" w:hAnsi="Arial"/>
          <w:color w:val="6A7A6A"/>
          <w:sz w:val="22"/>
          <w:szCs w:val="22"/>
        </w:rPr>
        <w:t xml:space="preserve">Honest capability assessment makes better defenders.</w:t>
      </w:r>
    </w:p>
    <w:p>
      <w:pPr>
        <w:spacing w:after="20" w:before="0"/>
        <w:jc w:val="center"/>
      </w:pPr>
      <w:r>
        <w:rPr>
          <w:rFonts w:ascii="Arial" w:cs="Arial" w:eastAsia="Arial" w:hAnsi="Arial"/>
          <w:color w:val="006620"/>
          <w:sz w:val="22"/>
          <w:szCs w:val="22"/>
        </w:rPr>
        <w:t xml:space="preserve">Built with humans and AI — defending the homeland  🇺🇸</w:t>
      </w:r>
    </w:p>
    <w:p>
      <w:pPr>
        <w:spacing w:after="0" w:before="0"/>
        <w:jc w:val="center"/>
      </w:pPr>
      <w:r>
        <w:rPr>
          <w:rFonts w:ascii="Arial" w:cs="Arial" w:eastAsia="Arial" w:hAnsi="Arial"/>
          <w:b/>
          <w:bCs/>
          <w:color w:val="006620"/>
          <w:sz w:val="28"/>
          <w:szCs w:val="28"/>
        </w:rPr>
        <w:t xml:space="preserve">DEFEND ALWAYS  🛡️</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360"/>
      </w:tabs>
      <w:spacing w:after="0" w:before="80"/>
    </w:pPr>
    <w:r>
      <w:rPr>
        <w:rFonts w:ascii="Arial" w:cs="Arial" w:eastAsia="Arial" w:hAnsi="Arial"/>
        <w:color w:val="888888"/>
        <w:sz w:val="18"/>
        <w:szCs w:val="18"/>
      </w:rPr>
      <w:t xml:space="preserve">TLP:CLEAR · For authorized defensive security use · Honest capability assessment</w:t>
    </w:r>
    <w:r>
      <w:rPr>
        <w:rFonts w:ascii="Arial" w:cs="Arial" w:eastAsia="Arial" w:hAnsi="Arial"/>
        <w:color w:val="888888"/>
        <w:sz w:val="18"/>
        <w:szCs w:val="18"/>
      </w:rPr>
      <w:t xml:space="preserve">	Page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tabs>
        <w:tab w:val="right" w:pos="9360"/>
      </w:tabs>
      <w:spacing w:after="80" w:before="0"/>
    </w:pPr>
    <w:r>
      <w:rPr>
        <w:rFonts w:ascii="Arial" w:cs="Arial" w:eastAsia="Arial" w:hAnsi="Arial"/>
        <w:color w:val="888888"/>
        <w:sz w:val="18"/>
        <w:szCs w:val="18"/>
      </w:rPr>
      <w:t xml:space="preserve">Ghost 2210 Crew — Defensive Security Toolkit</w:t>
    </w:r>
    <w:r>
      <w:rPr>
        <w:rFonts w:ascii="Arial" w:cs="Arial" w:eastAsia="Arial" w:hAnsi="Arial"/>
        <w:color w:val="888888"/>
        <w:sz w:val="18"/>
        <w:szCs w:val="18"/>
      </w:rPr>
      <w:t xml:space="preserve">	Limitations &amp; Constraints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20"/>
      <w:outlineLvl w:val="0"/>
    </w:pPr>
    <w:rPr>
      <w:rFonts w:ascii="Arial" w:cs="Arial" w:eastAsia="Arial" w:hAnsi="Arial"/>
      <w:b/>
      <w:bCs/>
      <w:color w:val="0D1F0D"/>
      <w:sz w:val="32"/>
      <w:szCs w:val="32"/>
    </w:rPr>
  </w:style>
  <w:style w:type="paragraph" w:styleId="Heading2">
    <w:name w:val="Heading 2"/>
    <w:basedOn w:val="Normal"/>
    <w:next w:val="Normal"/>
    <w:qFormat/>
    <w:pPr>
      <w:spacing w:after="80" w:before="240"/>
      <w:outlineLvl w:val="1"/>
    </w:pPr>
    <w:rPr>
      <w:rFonts w:ascii="Arial" w:cs="Arial" w:eastAsia="Arial" w:hAnsi="Arial"/>
      <w:b/>
      <w:bCs/>
      <w:color w:val="0D1F0D"/>
      <w:sz w:val="26"/>
      <w:szCs w:val="26"/>
    </w:rPr>
  </w:style>
  <w:style w:type="paragraph" w:styleId="Heading3">
    <w:name w:val="Heading 3"/>
    <w:basedOn w:val="Normal"/>
    <w:next w:val="Normal"/>
    <w:qFormat/>
    <w:pPr>
      <w:spacing w:after="60" w:before="160"/>
      <w:outlineLvl w:val="2"/>
    </w:pPr>
    <w:rPr>
      <w:rFonts w:ascii="Arial" w:cs="Arial" w:eastAsia="Arial" w:hAnsi="Arial"/>
      <w:b/>
      <w:bCs/>
      <w:color w:val="00662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2026-06-18T01:03:00.972Z</dcterms:created>
  <dcterms:modified xsi:type="dcterms:W3CDTF">2026-06-18T01:03:00.984Z</dcterms:modified>
</cp:coreProperties>
</file>

<file path=docProps/custom.xml><?xml version="1.0" encoding="utf-8"?>
<Properties xmlns="http://schemas.openxmlformats.org/officeDocument/2006/custom-properties" xmlns:vt="http://schemas.openxmlformats.org/officeDocument/2006/docPropsVTypes"/>
</file>